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ATAS/498/2020 vom 23. Juni 2020</w:t>
      </w:r>
    </w:p>
    <w:p>
      <w:r>
        <w:t>GE Cour de justice, 2020-06-23, FR</w:t>
      </w:r>
    </w:p>
    <w:p>
      <w:r>
        <w:rPr>
          <w:b/>
        </w:rPr>
        <w:t xml:space="preserve">Quelle: </w:t>
      </w:r>
      <w:r>
        <w:t>https://mcp.opencaselaw.ch/entscheid/ge_gerichte_ATAS_498_2020</w:t>
      </w:r>
    </w:p>
    <w:p>
      <w:r>
        <w:t>FR: GE_GERICHTE ATAS/498/2020 du 23 juin 2020</w:t>
      </w:r>
    </w:p>
    <w:p>
      <w:r>
        <w:t>IT: GE_GERICHTE ATAS/498/2020 del 23 giugno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janvier inclusivement (art. 38 al. 4 let. c LPGA et art. 89C let. c LPA), ainsi que du report au lundi 6 janvier 2020 de l'échéance du délai de recours tombée sur le samedi 4 janvier 2020 (art. 38 al. 3 LPGA), le recours est recevable.</w:t>
      </w:r>
    </w:p>
    <w:p>
      <w:r>
        <w:rPr>
          <w:b/>
        </w:rPr>
        <w:t>E. 3</w:t>
      </w:r>
    </w:p>
    <w:p>
      <w:r>
        <w:t>Le litige porte sur le point de savoir si l’intimée était en droit de nier que les conditions de la récusation du Dr D______ en qualité d'expert dans la procédure administrative étaient réalisées.</w:t>
      </w:r>
    </w:p>
    <w:p>
      <w:r>
        <w:rPr>
          <w:b/>
        </w:rPr>
        <w:t>E. 4</w:t>
      </w:r>
    </w:p>
    <w:p>
      <w:r>
        <w:t>novembre 1950 (CEDH − RS 0.101),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Les motifs de refus et de récusation pour les experts sont en règle générale les mêmes que pour les juges (ATF 132 V 93 consid. 7.1).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(arrêt du Tribunal fédéral 9C_689/2012 du 6 juin 2013 consid. 2.2). Compte tenu de l’importance que revêt une expertise médicale dans le domaine des assurances sociales, il y a lieu de poser des exigences sévères quant à l’impartialité d’un expert (ATF 120 V 357 consid. 3b).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(arrêt du Tribunal fédéral 9C_180/2013 du 31 décembre 2013 consid. 2.2).</w:t>
      </w:r>
    </w:p>
    <w:p>
      <w:r>
        <w:rPr>
          <w:b/>
        </w:rPr>
        <w:t>E. 5</w:t>
      </w:r>
    </w:p>
    <w:p>
      <w:r>
        <w:t>En matière de récusation, il convient de distinguer entre les motifs formels et les motifs matériels. Les motifs de récusation qui sont énoncés dans la loi (cf. art. 10 PA et 36 al. 1 LPGA) sont de nature formelle parce qu’ils sont propres à éveiller la</w:t>
      </w:r>
    </w:p>
    <w:p>
      <w:r>
        <w:t>A/43/2020 - 7/9 -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(arrêt du Tribunal fédéral 9C_366/2013 du 2 décembre 2013 consid. 1.2 et la référence). Selon l’art. 10 al. 1 PA, les personnes appelées à rendre ou à préparer la décision doivent se récuser: si elles ont un intérêt personnel dans l’affaire (let. a); si elles sont le conjoint ou le partenaire enregistré d’une partie ou mènent de fait une vie de couple avec elle (let. b); si elles sont parentes ou alliées d’une partie en ligne directe, ou jusqu’au troisième degré en ligne collatérale (let. bbis); si elles représentent une partie ou ont agi dans la même affaire pour une partie (let. c); si, pour d’autres raisons, elles pourraient avoir une opinion préconçue dans l’affaire (let. d).</w:t>
      </w:r>
    </w:p>
    <w:p>
      <w:r>
        <w:rPr>
          <w:b/>
        </w:rPr>
        <w:t>E. 6</w:t>
      </w:r>
    </w:p>
    <w:p>
      <w:r>
        <w:t>Enfin, il convient de rappeler qu’il existe une présomption d’impartialité de l’expert, de sorte que la partie qui demande sa récusation doit apporter la preuve permettant de renverser cette présomption (cf. arrêt du Tribunal fédéral des assurances I 752/03 du 27 août 2004 consid. 4.2 et la référence citée).</w:t>
      </w:r>
    </w:p>
    <w:p>
      <w:r>
        <w:rPr>
          <w:b/>
        </w:rPr>
        <w:t>E. 7</w:t>
      </w:r>
    </w:p>
    <w:p>
      <w:r>
        <w:t>a. En l’espèce, le recourant met en doute l'impartialité du Dr D______, mandaté par l’intimée pour fonctionner en qualité d’expert, au motif que celui-ci s’est forgé une opinion déjà avant l’examen clinique, dans la mesure où il avait reçu le rapport d’expertise établi par le Dr E______ dans le cadre de l'instruction diligentée par l’OAI, dont les conclusions lui étaient défavorables. b. S’il est vrai qu’en transmettant, sans le consentement du recourant, au Dr D______ le dossier AI de celui-ci comprenant le rapport d’expertise précité, le Dr E______ a violé le secret médical auquel il est tenu, l'éventualité que le Dr D______ puisse avoir, par ce seul fait, une opinion préconçue de la situation médicale du recourant doit en revanche être écartée, à défaut de vraisemblance au degré requis par la jurisprudence. En effet, à supposer, comme le prétend le recourant (cf. également le courrier de son amie du 30 octobre 2019), que le Dr E______ lui ait effectivement déclaré que son confrère rendrait des conclusions identiques aux siennes, le recourant n’a quoi qu’il en soit mis aucun élément objectif en évidence qui permettrait d'admettre que le Dr D______, lui-même, aurait, avant de l’avoir examiné, déjà pris position au sujet des questions qui lui étaient adressées par l’intimée de manière telle que ses conclusions relatives à la situation du recourant au plan médical dans la procédure concernant l'assurance- accidents seraient ou apparaîtraient prédéterminées. Interpellé par l’intimée, le Dr D______ a confirmé le 8 novembre 2019 avoir reçu le dossier AI du recourant, mais a affirmé n’avoir pas discuté du cas avec le Dr E______. Du reste, le Dr D______, en tant qu’il est appelé à se déterminer, conformément à l’arrêt de renvoi du 23 avril 2019, essentiellement sur le lien de causalité entre l’accident et les atteintes aux genoux, ne pourrait être enclin à projeter dans la procédure LAA</w:t>
      </w:r>
    </w:p>
    <w:p>
      <w:r>
        <w:t>A/43/2020 - 8/9 - l’opinion du Dr E______ qu'il aurait pu acquérir en lisant son rapport d’expertise, puisque ce dernier n’a pas dû répondre à la problématique de la causalité qui est étrangère à l’assurance-invalidité. Ainsi, il n’apparaît pas d’emblée que le Dr D______ soutiendra le point de vue de l’intimée. Outre cela, en l’absence d’un indice objectif faisant craindre la partialité dudit expert dans le cas d’espèce, l’appartenance des Drs D______ et E______ à la SIM ne donne pas, à elle seule, l'apparence d'une prévention. Les médecins peuvent en effet être membres d’une association, sans que cela ne crée de lien de dépendance ou de subordination entre eux (voir arrêt du Tribunal fédéral 1P.708/2004 du 16 février 2005 consid. 2). Le fait que l'appartenance à un même groupe d'experts peut favoriser des contacts mutuels lors d'activités scientifiques communes ou des rencontres fortuites ne suffit pas non plus à créer une apparence de prévention (arrêt du Tribunal fédéral 8C_1058/2010 du 1er juin 2011 consid. 4.6). Enfin, le grief tiré du fait que le Dr E______ avait autrefois collaboré avec l’intimée doit également être écarté, puisque cette circonstance n’est pas de nature à compromettre la liberté de jugement du Dr D______. Dès lors que le Dr D______ ne donne aucune apparence de prévention, les craintes du recourant ne justifient pas la récusation de cet expert.</w:t>
      </w:r>
    </w:p>
    <w:p>
      <w:r>
        <w:rPr>
          <w:b/>
        </w:rPr>
        <w:t>E. 8</w:t>
      </w:r>
    </w:p>
    <w:p>
      <w:r>
        <w:t>Mal fondé, le recours ne peut qu’être rejeté. Pour le surplus, la procédure est gratuite (art. 89H al. 1 LPA).</w:t>
      </w:r>
    </w:p>
    <w:p>
      <w:r>
        <w:t>A/43/2020 - 9/9 -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