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ATAS/498/2019 vom 4. Juni 2019</w:t>
      </w:r>
    </w:p>
    <w:p>
      <w:r>
        <w:t>GE Cour de justice, 2019-06-04, FR</w:t>
      </w:r>
    </w:p>
    <w:p>
      <w:r>
        <w:rPr>
          <w:b/>
        </w:rPr>
        <w:t xml:space="preserve">Quelle: </w:t>
      </w:r>
      <w:r>
        <w:t>https://mcp.opencaselaw.ch/entscheid/ge_gerichte_ATAS_498_2019</w:t>
      </w:r>
    </w:p>
    <w:p>
      <w:r>
        <w:t>FR: GE_GERICHTE ATAS/498/2019 du 4 juin 2019</w:t>
      </w:r>
    </w:p>
    <w:p>
      <w:r>
        <w:t>IT: GE_GERICHTE ATAS/498/2019 del 4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A/4275/2018 - 5/10 -</w:t>
      </w:r>
    </w:p>
    <w:p>
      <w:r>
        <w:rPr>
          <w:b/>
        </w:rPr>
        <w:t>E. 2</w:t>
      </w:r>
    </w:p>
    <w:p>
      <w:r>
        <w:t>Interjeté dans les délai et forme prescrits par la loi, le recours est recevable (art. 56 ss LPGA).</w:t>
      </w:r>
    </w:p>
    <w:p>
      <w:r>
        <w:rPr>
          <w:b/>
        </w:rPr>
        <w:t>E. 3</w:t>
      </w:r>
    </w:p>
    <w:p>
      <w:r>
        <w:t>Le litige porte sur le droit de l’assuré à une demi-rente d’invalidité dès le 1er décembre 2017.</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5</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A/4275/2018 - 6/10 -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A/4275/2018 - 7/10 -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A/4275/2018 - 8/10 - fédérale de la Confédération suisse du 18 avril 1999 (RS 101 - Cst; SVR 2001 IV n. 10 p. 28 consid. 4b), la jurisprudence rendue sous l’empire de l’art. 4 aCst. étant toujours valable (ATF 124 V 90 consid. 4b; ATF 122 V 157 consid. 1d).</w:t>
      </w:r>
    </w:p>
    <w:p>
      <w:r>
        <w:rPr>
          <w:b/>
        </w:rPr>
        <w:t>E. 7</w:t>
      </w:r>
    </w:p>
    <w:p>
      <w:r>
        <w:t>En l’espèce, l’OAI a nié le droit de l’assuré à une rente d’invalidité, au motif que selon l’avis du SMR du 21 août 2018, sa capacité de travail est de 100% dans une activité adaptée. L’assuré considère que l’OAI a procédé à une instruction lacunaire pour déterminer sa capacité de travail dans une activité adaptée et conteste l’évaluation qui en a été faite.</w:t>
      </w:r>
    </w:p>
    <w:p>
      <w:r>
        <w:rPr>
          <w:b/>
        </w:rPr>
        <w:t>E. 8</w:t>
      </w:r>
    </w:p>
    <w:p>
      <w:r>
        <w:t>La chambre de céans relève que dans son avis du 21 août 2018, le médecin du SMR se réfère expressément au rapport du Dr B______ du 30 janvier 2018. Or, dans ce rapport, le Dr B______ précise que l’assuré souffre d’une fatigabilité importante et de douleurs au niveau lombaire, sans aucune possibilité d’améliorer le status, et le 23 octobre 2018, il confirme que la capacité de travail de l’assuré est de 50%, même dans une activité adaptée, ajoutant que « je ne vois pas avec un tel handicap comment l’assuré peut être apte dans toutes les activités qui respectent les limitations fonctionnelles à 100% ». Ce nonobstant, le médecin du SMR, reprenant la liste des limitations fonctionnelles décrites par le médecin traitant, conclut à une capacité de travail de 50% dans l’activité habituelle et de 100% dans une activité adaptée à ces limitations, sans autre explication, et sans tenir compte notamment de la fatigabilité qualifiée d’« importante » par le médecin traitant. Le médecin du SMR semble avoir oublié que l’activité habituelle est une activité en atelier protégé. Il admet ainsi une capacité de travail de 50% dans ce cadre, mais considère qu’elle est de 100% dans une activité adaptée sur le marché ordinaire de l’emploi. Il y a à cet égard lieu de rappeler que selon Foyer Handicap, l’assuré ne pouvait pas être placé dans son entreprise ou ailleurs, voire difficilement, en raison de sa mobilité très restreinte et de rendez-vous fréquents chez le médecin, et que des possibilités de placement à l’interne avaient déjà été examinées, qu’il avait à cet égard déjà fait l’objet d’un transfert de l’atelier de cuisine à celui de conditionnement alimentaire où il pouvait rester en position assise. Il importe également de rappeler que selon le rapport IP du 18 septembre 2017, l’assuré doit se lever régulièrement, car le travail est principalement effectué assis. On peine à comprendre, dans ces conditions, comment le médecin du SMR est parvenu à cette conclusion. La chambre de céans ne saurait dès lors se fonder sur l’avis du SMR pour examiner le bien-fondé de la décision querellée. Compte tenu de l'ensemble de ces éléments, la chambre de céans n'est pas en mesure de statuer en l'état actuel du dossier, dès lors qu'il ne contient pas les éléments suffisants et probants permettant d’évaluer la capacité de travail de l’assuré dans son activité habituelle en atelier protégé et dans une activité adaptée.</w:t>
      </w:r>
    </w:p>
    <w:p>
      <w:r>
        <w:t>A/4275/2018 - 9/10 - Il convient dès lors de renvoyer la cause à l'OAI pour instruction complémentaire sous la forme notamment d’un stage d'observation professionnelle visant à clarifier le rendement exigible et les activités qui demeurent à la portée de l'assuré.</w:t>
      </w:r>
    </w:p>
    <w:p>
      <w:r>
        <w:t>A/4275/2018 - 10/10 -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