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ATAS/497/2025 vom 27. Juni 2025</w:t>
      </w:r>
    </w:p>
    <w:p>
      <w:r>
        <w:t>GE Cour de justice, 2025-06-27, FR</w:t>
      </w:r>
    </w:p>
    <w:p>
      <w:r>
        <w:rPr>
          <w:b/>
        </w:rPr>
        <w:t xml:space="preserve">Quelle: </w:t>
      </w:r>
      <w:r>
        <w:t>https://mcp.opencaselaw.ch/entscheid/ge_gerichte_ATAS_497_2025</w:t>
      </w:r>
    </w:p>
    <w:p>
      <w:r>
        <w:t>FR: GE_GERICHTE ATAS/497/2025 du 27 juin 2025</w:t>
      </w:r>
    </w:p>
    <w:p>
      <w:r>
        <w:t>IT: GE_GERICHTE ATAS/497/2025 del 27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A/665/2025 - 8/21 -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l’intimé du 28 janvier 2025, refusant au recourant toute prestation invalidité.</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l’octroi d’une rente dont le droit est né postérieurement au 31 décembre 2021, de sorte que les dispositions légales applicables seront citées dans leur nouvelle teneur.</w:t>
      </w:r>
    </w:p>
    <w:p>
      <w:r>
        <w:rPr>
          <w:b/>
        </w:rPr>
        <w:t>E. 3.1</w:t>
      </w:r>
    </w:p>
    <w:p>
      <w:r>
        <w:t>Le 1er janvier 2022, sont entrées en vigueur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3.3</w:t>
      </w:r>
    </w:p>
    <w:p>
      <w:r>
        <w:t>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t>A/665/2025 - 9/21 -</w:t>
      </w:r>
    </w:p>
    <w:p>
      <w:r>
        <w:rPr>
          <w:b/>
        </w:rPr>
        <w:t>E. 3.4</w:t>
      </w:r>
    </w:p>
    <w:p>
      <w:r>
        <w:t>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w:t>
      </w:r>
    </w:p>
    <w:p>
      <w:r>
        <w:rPr>
          <w:b/>
        </w:rPr>
        <w:t>E. 3.5</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w:t>
      </w:r>
    </w:p>
    <w:p>
      <w:r>
        <w:rPr>
          <w:b/>
        </w:rPr>
        <w:t>E. 3.6</w:t>
      </w:r>
    </w:p>
    <w:p>
      <w:r>
        <w:t>Selon la jurisprudence, une dysthymie (F34.1) est susceptible d'entraîner une diminution de la capacité de travail lorsqu'elle se présente avec d'autres affections,</w:t>
      </w:r>
    </w:p>
    <w:p>
      <w:r>
        <w:t>A/665/2025 - 10/21 -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4.1</w:t>
      </w:r>
    </w:p>
    <w:p>
      <w:r>
        <w:t>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Si l’expert s'acquitte de sa tâche de manière convaincante et sur la base d'une expertise qui a été établie conformément au schéma d'évaluation de l’ATF 141 V 281,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 6 février 2023 consid. 4.2 et les références).</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w:t>
      </w:r>
    </w:p>
    <w:p>
      <w:r>
        <w:t>A/665/2025 - 11/21 -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4.4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4.5</w:t>
      </w:r>
    </w:p>
    <w:p>
      <w:r>
        <w:t>En ce qui concerne les rapports établis par les médecins traitants, le juge peut et doit tenir compte du fait que, selon l'expérience, le médecin traitant est généralement enclin, en cas de doute, à prendre parti pour son patient en raison de</w:t>
      </w:r>
    </w:p>
    <w:p>
      <w:r>
        <w:t>A/665/2025 - 12/21 -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4.7</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4.8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w:t>
      </w:r>
    </w:p>
    <w:p>
      <w:r>
        <w:t>A/665/2025 - 13/21 -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w:t>
      </w:r>
    </w:p>
    <w:p>
      <w:r>
        <w:rPr>
          <w:b/>
        </w:rPr>
        <w:t>E. 5.2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5.3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w:t>
      </w:r>
    </w:p>
    <w:p>
      <w:r>
        <w:t>A/665/2025 - 14/21 -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En l’espèce, d’un point de vue formel, le recourant critique l’expertise, considérant qu’elle s’est déroulée sur une période relativement courte puisque l’examen somatique a duré 1h10 et l’examen psychiatrique 1h45. De surcroît, le recourant invoque qu’il n’a pas pu répondre directement aux questions, car il était accompagné d’un interprète et ses propos étaient rapportés par l’intermédiaire d’un tiers. À cet égard, il convient de rappeler que dans les limites du mandat confié, la conduite de l'expertise (modalités de l'examen clinique et choix des examens complémentaires) est laissée au libre arbitre de l'expert. Dans ce contexte, une prétendue courte durée de l'entretien entre la personne assurée et le médecin ou la non-prise de contact de ce dernier avec un confrère ne permettent pas de dénier toute force probante à une expertise psychiatrique (arrêt du Tribunal fédéral 8C_458/2023 du 18 décembre 2023 consid. 7.1.2 et la référence). Selon la jurisprudence,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(arrêt du Tribunal fédéral 9C_660/2021 du 30 novembre 2022 consid. 5.3.4 et les références). Compte tenu de ces éléments, les critiques concernant la durée de l’expertise ne peuvent pas être retenues comme indices d’un défaut de valeur probante. Celle-ci sera examinée plus en détail, infra. S’agissant des plaintes du recourant concernant la présence d’un interprète, on rappellera que la question de savoir si, dans un cas concret, un examen médical doit se dérouler dans la langue maternelle de l'assuré ou avec l'assistance d'un interprète, est en principe laissée à la libre appréciation de l'expert, responsable de la bonne exécution du mandat (arrêt du Tribunal fédéral 8C_152/2023 du 14 novembre 2023 consid. 4.3 et les références).</w:t>
      </w:r>
    </w:p>
    <w:p>
      <w:r>
        <w:t>A/665/2025 - 15/21 - Dans le cas présent, un interprète accompagnait le recourant lors des consultations et entretiens d’expertise et aucun indice ne permet de supposer que ses plaintes n’ont pas été correctement traduites et communiquées aux experts. Ces deux griefs de nature formelle seront donc écartés.</w:t>
      </w:r>
    </w:p>
    <w:p>
      <w:r>
        <w:rPr>
          <w:b/>
        </w:rPr>
        <w:t>E. 6.2</w:t>
      </w:r>
    </w:p>
    <w:p>
      <w:r>
        <w:t>S’agissant des critiques concernant la valeur probante des rapports d’expertise, le recourant se fonde, notamment, sur un rapport médical du Dr C______, daté du 20 février 2025, dans lequel ce dernier considère que le recourant présente des troubles psychiatriques sévères, qui ont un impact direct sur ses capacités cognitives et organisationnelles, ce qui rend toute activité professionnelle extrêmement difficile, voire impossible. Le médecin traitant estime qu’il n’y a pas d’amélioration significative qui permettrait un retour progressif au travail et qu’aucune évolution favorable n’est attendue, compte tenu de ses capacités intellectuelles et de ses antécédents médicaux. Le recourant est dans l’incapacité de structurer ses tâches et de fonctionner de manière autonome dans un cadre professionnel, ce qui rend toute adaptation de poste inefficace. Sur le plan physique, en raison de ses douleurs chroniques sévères, toute activité manuelle physique aurait un effet délétère sur sa santé, aggraverait ses douleurs persistantes. Par ailleurs, son absence de maîtrise du français limite considérablement ses perspectives dans un emploi nécessitant une interaction cognitive et sociale. Compte tenu de ces éléments, le médecin traitant considère que l’OAI doit procéder à nouvelle expertise médicale, spécifiquement neuropsychologique et psychiatrique, afin de réévaluer la capacité réelle du recourant à intégrer un emploi, dans un cadre adapté. Les appréciations du médecin traitant étant différentes de celles des experts, le recourant met en doute la valeur probante de l’expertise administrative bi- disciplinaire.</w:t>
      </w:r>
    </w:p>
    <w:p>
      <w:r>
        <w:rPr>
          <w:b/>
        </w:rPr>
        <w:t>E. 6.3</w:t>
      </w:r>
    </w:p>
    <w:p>
      <w:r>
        <w:t>Le rapport des experts correspond en tous points aux exigences en la matière. Il a été établi en parfaite connaissance du dossier médical, dont les pièces sont résumées. Il contient, en outre, une anamnèse personnelle, familiale et professionnelle très fouillée. L’expert K______ a décrit de manière très claire ses observations, lors de l’examen physique et a énuméré les diagnostics incapacitants, en détaillant sur quels troubles somatiques précis il se fondait. Selon lui, il y avait une cohérence et une concordance positive et directe entre les constatations radio-cliniques et les plaintes de l’assuré. L’expert psychiatre a, quant à lui, réalisé un entretien approfondi constitué d’une biographie rapportée par l’expertisé, d’une description de son quotidien avant les événements marquants, des aspects sociaux, familiaux et sentimentaux, ainsi que des aspects scolaires et professionnels. L’expertisé a décrit son dernier poste de travail, la perception de son avenir professionnel avec les limitations fonctionnelles perçues et sa situation financière. Il a également relaté de manière</w:t>
      </w:r>
    </w:p>
    <w:p>
      <w:r>
        <w:t>A/665/2025 - 16/21 - détaillée le déroulement représentatif d’une journée-type, l’organisation des loisirs, les hobbies, l’aide nécessaire pour le ménage et dans la vie quotidienne, les moyens de transport utilisés, les types de déplacement, les vacances etc. L’expert psychiatre a rapporté ses observations cliniques de manière détaillée, à la suite d’un entretien approfondi. Les diagnostics retenus sont soigneusement motivés, et le Dr L______ a précisé sur quels critères il se fondait, en évoquant les diagnostics différentiels. En ce qui concerne les aspects somatiques, les douleurs ont été prises en compte par l’expert K______, plus particulièrement la persistance d’une douleur du genou droit, l’expert ayant relevé une boiterie à droite et des signes cliniques compatibles avec un conflit de hanche et une tendinopathie du moyen fessier bilatéral, ainsi que des signes compatibles avec une gonarthrose du genou droit. Le médecin relève que l’assuré a pu rester 50 minutes en station assise, sans plaintes. Au vu des lésions structurelles touchant les deux genoux, le rachis lombaire ainsi que la hanche droite, l’expert estime que celles-ci ne peuvent être raisonnablement améliorées à moyen et long terme par d’éventuelles mesures thérapeutiques, raison pour laquelle la capacité de travail dans l’activité habituelle est définitivement nulle. En revanche, en fonction des limitations fonctionnelles qui sont clairement décrites, l’expert considère que l’assuré peut fournir du travail huit heures par jour, à un rendement considéré comme complet et donc exercer une activité adaptée à ses limitations fonctionnelles à 100%, relevant de plus que le pronostic est excellent. S’agissant des aspects psychiatriques, l’expert a relevé qu’il existe une incohérence notable entre, d’une part, l’intensité des symptômes psychiatriques rapportés dans le dossier médical par le médecin traitant, évoquant une « dépression sévère » et d’autre part, l’évaluation objective réalisée au jour de l’entretien. Il mentionne que lors de l’entretien, les symptômes dépressifs observés apparaissent modérés et compatibles avec un diagnostic de dysthymie, plutôt que d’un épisode dépressif majeur, tel qu’une dépression sévère. Les symptômes relevés incluent une humeur fluctuante, entre neutre et triste, des troubles du sommeil, une fatigue persistante, mais pas d’atteinte majeure des capacités cognitives, de concentration ou de motivation générale, qui pourraient justifier un diagnostic de dépression sévère. Les limitations fonctionnelles mentionnées par l’expertisé, lors de l’entretien, semblent principalement liées à ses troubles physiques qui restreignent de manière homogène sa capacité à mener certaines activités, mais ces limitations ne paraissent pas entièrement incapacitantes d’un point de vue psychiatrique. Les examens paracliniques révèlent une consommation active de cannabis et excessive d’alcool que l’assuré n’a pas avouée lors de l’entretien, ce qui suggérerait un défaut de coopération lors de l’évaluation, alors qu’il a été bien questionné sur les éventuelles consommations de substances. L’expert ajoute qu’une abstinence est exigible, en l’absence de syndrome de dépendance et qu’une psychothérapie ciblée sur cette</w:t>
      </w:r>
    </w:p>
    <w:p>
      <w:r>
        <w:t>A/665/2025 - 17/21 - problématique pourrait être proposée en cas de difficultés à stopper ces consommations, qui peuvent entretenir, voire majorer, la symptomatologie dépressive objectivée. Lors de l’entretien, l’assuré a indiqué que sa situation s’était dégradée depuis sa chute, car avant cet événement, il décrivait une vie normale, travaillait bien et avait de la force ; il avait une vie active et pouvait pratiquer des activités physiques telles que le football, la course et la danse. Depuis lors, il ne peut plus se livrer à des activités physiques. Sur le plan des rapports sociaux, l’assuré dit s’être bien intégré, notamment avec d’autres personnes de sa nationalité et avoir des amis à Genève et au Portugal. Il se rend régulièrement au Portugal, pour voir son épouse et ses filles, mentionnant qu’il s’y est rendu pour la dernière fois au mois d’août 2024, avec l’accord de son médecin et qu’il a pu aller pêcher à plusieurs reprises avec un cousin et passer du temps avec sa famille au domicile ou à la plage. Durant ces vacances, il dit avoir éprouvé du plaisir et s’être senti mieux psychiquement ; sur le plan physique, l’eau de mer a nettement amélioré ses lésions cutanées aux pieds, mais il n’a constaté aucune amélioration concernant ses douleurs aux jambes. Dans la description de sa journée-type, l’assuré dit avoir réussi à maintenir une routine quotidienne et se réveiller entre 6h00 et 6h30, puis se laver et prendre son petit-déjeuner. Après cela, il sort marcher seul, à un rythme adapté à ses limitations, puis rentre chez lui en raison des douleurs exacerbées par la marche. À midi, il se prépare un repas qu’il mange seul puis, l’après-midi, il se repose de nouveau sur son canapé, devant la télévision. Il utilise le bus et le train et voit régulièrement son ami de Genève qui le rejoint chez lui et ses deux autres amis le week-end. Le soir, il prépare un repas et mentionne souvent ne plus avoir envie de manger à cause de ses douleurs. Il se couche tôt, vers 20h30, mais se réveille vers 2h00 du matin sans pouvoir se rendormir, en raison de douleurs au dos. L’assuré dit faire très souvent des appels vidéo, avec sa fille cadette et ses parents ; concernant ses hobbies, il a désinvesti la plupart de ses activités habituelles physiques, telles que la danse, mais fait des mots fléchés, regarde la télévision et les nouvelles sur son téléphone et consulte les réseaux sociaux. S’agissant des tâches ménagères, il nettoie et range sa chambre, bien qu’il bénéficie actuellement de l’aide d’une femme de ménage et dit pouvoir réaliser l’ensemble des tâches ménagères, petit à petit, ainsi que faire des courses alimentaires. Sur le plan des fonctions cognitives, l’assuré mentionne une fatigue quasi permanente, mais ne rapporte pas de problèmes de mémoire ou de concentration. Sur le plan de l’humeur, il n’est pas triste en permanence, mais lorsqu’il est seul, il a parfois des pensées négatives, éprouve un sentiment de culpabilité, décrit un sentiment d’inutilité et a tendance à se dévaloriser. Il n’a pas d’idéation suicidaire et a pu se maintenir grâce à son entourage soutenant. Son appétit est conservé et il apprécie cuisiner, en y prenant du plaisir, mais il rapporte un sommeil perturbé par ses douleurs et des ruminations négatives. Questionné sur la prise de substances, il</w:t>
      </w:r>
    </w:p>
    <w:p>
      <w:r>
        <w:t>A/665/2025 - 18/21 - reconnaît fumer un paquet de tabac par jour, depuis l’âge de 17 ans, mais ne pas fumer de cannabis et consommer de l’alcool de manière contrôlée, soit un demi- verre de vin ou une bière en été, sans avoir jamais bu de manière excessive et ne pas être « addict ». La description d’une journée-type montre que l’assuré a su garder une routine et est capable d’effectuer de manière autonome ses tâches ménagères telles que la cuisine, les courses et le ménage, avec l’aide d’une femme de ménage. Il a maintenu un contact à distance avec sa famille, se réjouit lorsqu’il est en vacances en compagnie de sa fille et de son épouse et dispose d’un cercle d’amis, limité mais présent, à Genève. Contrairement aux appréciations du médecin traitant C______, on n’observe pas de signes pouvant concrètement justifier une dépression sévère. Interrogé sur ce point, l’assuré ne dit pas être triste en permanence, ni avoir des pensées négatives sur sa situation globale, mais lorsqu’il est seul, sa projection dans l’avenir est morose. Bien qu’il ait débuté un suivi auprès du docteur M______, spécialiste en psychiatrie et psychothérapie, depuis environ deux ans, il n’a communiqué dans ses écritures aucun rapport médical de son psychiatre, qui pourrait confirmer une éventuelle sévérité de son atteinte, celle-ci n’étant alléguée que par son médecin traitant généraliste, le Dr C______. À cet égard, il faut préciser que ce dernier, dans son questionnaire médical du 20 février 2024, reconnaît à l’assuré une capacité de travail dans une activité adaptée de « 50%, dès maintenant », alors même que dans son rapport médical du 20 février 2025, le même médecin considère que le recourant ne peut pas exercer d’activité lucrative, en raison de ses troubles psychiatriques et cognitifs, associés à ses douleurs chroniques. On notera encore que le SMR a examiné les rapports d’expertise de manière scrupuleuse, en demandant aux deux experts des informations complémentaires, qui ont été fournies le 23 octobre 2024. La chambre de céans considère que le médecin traitant fait certes, des appréciations différentes de l’état de santé de son patient, mais ne fait pas état d'éléments objectivement vérifiables ayant été ignorés dans le cadre de l'expertise et qui seraient suffisamment pertinents pour remettre en cause les conclusions des experts. Partant, le rapport d’expertise et son complément doivent se voir reconnaître une pleine valeur probante, étant rappelé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Étant encore relevé que le spécialiste en médecine du travail, le Dr E______, a déjà mentionné, dans son rapport médical du 3 février 2023, que la capacité de travail de l’assuré, sur le plan somatique, était entière depuis le mois de janvier</w:t>
      </w:r>
    </w:p>
    <w:p>
      <w:r>
        <w:t>A/665/2025 - 19/21 - 2022, dans une activité adaptée à ses limitations fonctionnelles. Il ne mentionne aucun trouble de nature psychiatrique, si ce n’est que les examens de laboratoire montrent une augmentation de la Gamma–GT, compatible avec une consommation d’alcool excessive. S’agissant des critiques du recourant, quant à ses limitations linguistiques et scolaires, pour exercer une activité moins physique, il sied de rappeler que les facteurs psychosociaux ou socioculturels et leur rôle en matière d'invalidité, ne figurent pas au nombre des atteintes à la santé, susceptibles d'entraîner une incapacité de gain au sens de l'art. 4 al. 1 LAI.</w:t>
      </w:r>
    </w:p>
    <w:p>
      <w:r>
        <w:rPr>
          <w:b/>
        </w:rPr>
        <w:t>E. 6.4</w:t>
      </w:r>
    </w:p>
    <w:p>
      <w:r>
        <w:t>Enfin, les critiques adressées aux experts, qui reconnaissent au recourant une capacité d’exercer une activité adaptée sans préciser laquelle, elles doivent être écartées, car il n'appartient pas au médecin de déterminer si un assuré peut mettre en valeur sur le marché du travail la capacité de travail résiduelle retenue sur le plan médico-théorique (cf., s'agissant du rôle du médecin dans le cadre de l'évaluation de la capacité de travail : ATF 140 V 193 consid. 3.2 ; 125 V 256 consid. 4 ; arrêt du Tribunal fédéral 8C_740/2022 du 15 juin 2023 consid. 4.3.1 et la référence). Compte tenu de ce qui précède, la chambre de céans considère que le recourant n’est pas parvenu à démontrer, au degré de la vraisemblance prépondérante, que sa capacité de travail dans une activité adaptée à ses limitations fonctionnelles n’était pas complète. La chambre de céans constate que, même si l’on devait reconnaître au recourant une capacité de travail de 80% en lieu et place de 100%, les calculs effectués par l’OAI pour l’année 2022 montrent que le taux d’invalidité qui en résulte est inférieur à 18%, étant précisé que lesdits calculs ne sont pas contestés par le recourant et qu’ils n’apparaissent pas non plus contestables.</w:t>
      </w:r>
    </w:p>
    <w:p>
      <w:r>
        <w:rPr>
          <w:b/>
        </w:rPr>
        <w:t>E. 6.5</w:t>
      </w:r>
    </w:p>
    <w:p>
      <w:r>
        <w:t>S’agissant des actes d’instruction demandés par le recourant, il sied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Le recourant a eu largement l’occasion de se prononcer aussi bien dans ses écritures que dans le cadre de l’expertise psychiatrique, raison pour laquelle son audition n’est pas nécessaire. Il en est de même de celle de son médecin traitant, dont les appréciations ont été communiquées à plusieurs reprises, de telle sorte que son audition n’est pas non plus nécessaire. Quant à la demande d’une nouvelle expertise en neurologie et psychiatrie, on rappellera que lorsqu’une appréciation repose sur une évaluation médicale</w:t>
      </w:r>
    </w:p>
    <w:p>
      <w:r>
        <w:t>A/665/2025 - 20/21 -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Le recourant n’a fait mention d’aucun élément objectivement vérifiable qui aurait été oublié dans le cadre de l’expertise bi-disciplinaire mandatée par l’OAI, de telle sorte qu’une nouvelle expertise est inutile. S’agissant d’un éventuel volet neurologique, on rappellera que le neurologue F______ a effectué un examen ENMG, en février 2023, qui n’a révélé aucune atteinte neurologique significative.</w:t>
      </w:r>
    </w:p>
    <w:p>
      <w:r>
        <w:rPr>
          <w:b/>
        </w:rPr>
        <w:t>E. 7.1</w:t>
      </w:r>
    </w:p>
    <w:p>
      <w:r>
        <w:t>À l’aune de ce qui précède, la chambre de céans n’a d’autre choix que de rejeter le recours.</w:t>
      </w:r>
    </w:p>
    <w:p>
      <w:r>
        <w:rPr>
          <w:b/>
        </w:rPr>
        <w:t>E. 7.2</w:t>
      </w:r>
    </w:p>
    <w:p>
      <w:r>
        <w:t>Étant donné que, depuis le 1er juillet 2006, la procédure n'est plus gratuite (art. 69 al. 1bis LAI), et que l’assistance juridique n’a pas été demandée, au vu du sort du recours, il y a lieu de condamner le recourant au paiement d'un émolument de CHF 200.-.</w:t>
      </w:r>
    </w:p>
    <w:p>
      <w:r>
        <w:t>A/665/2025 - 21/21 -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