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ATAS/497/2008 vom 17. Januar 2008</w:t>
      </w:r>
    </w:p>
    <w:p>
      <w:r>
        <w:t>GE Cour de justice, 2008-01-17, FR</w:t>
      </w:r>
    </w:p>
    <w:p>
      <w:r>
        <w:rPr>
          <w:b/>
        </w:rPr>
        <w:t xml:space="preserve">Quelle: </w:t>
      </w:r>
      <w:r>
        <w:t>https://mcp.opencaselaw.ch/entscheid/ge_gerichte_ATAS_497_2008</w:t>
      </w:r>
    </w:p>
    <w:p>
      <w:r>
        <w:t>FR: GE_GERICHTE ATAS/497/2008 du 17 janvier 2008</w:t>
      </w:r>
    </w:p>
    <w:p>
      <w:r>
        <w:t>IT: GE_GERICHTE ATAS/497/2008 del 17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du 9 avril 2008 de l’OCAI d'annuler sa décision du 17 janvier 2008 et de reprendre l’instruction du dossier.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rPr>
          <w:b/>
        </w:rPr>
        <w:t>E. 4</w:t>
      </w:r>
    </w:p>
    <w:p>
      <w:r>
        <w:t>La renvoie à l’Office cantonal de l’assurance-invalidité.</w:t>
      </w:r>
    </w:p>
    <w:p>
      <w:r>
        <w:rPr>
          <w:b/>
        </w:rPr>
        <w:t>E. 5</w:t>
      </w:r>
    </w:p>
    <w:p>
      <w:r>
        <w:t>Met l'émolument, fixé à 200 fr., à la charge de l'intimé.</w:t>
      </w:r>
    </w:p>
    <w:p>
      <w:r>
        <w:t>La greffière</w:t>
      </w:r>
    </w:p>
    <w:p>
      <w:r>
        <w:t>Brigitte LUSCHER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