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ATAS/496/2025 vom 27. Juni 2025</w:t>
      </w:r>
    </w:p>
    <w:p>
      <w:r>
        <w:t>GE Cour de justice, 2025-06-27, FR</w:t>
      </w:r>
    </w:p>
    <w:p>
      <w:r>
        <w:rPr>
          <w:b/>
        </w:rPr>
        <w:t xml:space="preserve">Quelle: </w:t>
      </w:r>
      <w:r>
        <w:t>https://mcp.opencaselaw.ch/entscheid/ge_gerichte_ATAS_496_2025</w:t>
      </w:r>
    </w:p>
    <w:p>
      <w:r>
        <w:t>FR: GE_GERICHTE ATAS/496/2025 du 27 juin 2025</w:t>
      </w:r>
    </w:p>
    <w:p>
      <w:r>
        <w:t>IT: GE_GERICHTE ATAS/496/2025 del 27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w:t>
      </w:r>
    </w:p>
    <w:p>
      <w:r>
        <w:rPr>
          <w:b/>
        </w:rPr>
        <w:t>E. 2</w:t>
      </w:r>
    </w:p>
    <w:p>
      <w:r>
        <w:t>Le litige porte sur le bien-fondé de la décision de l’intimé du 6 décembre 2024 en ce qui concerne la période allant du 1er octobre 2022 au 31 mars 2024, singulièrement sur la question d’une amélioration notable et durable de l’état de santé de la recourante.</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est né postérieurement au 31 décembre 2021, de sorte que les dispositions légales applicables seront citées dans leur nouvelle teneur.</w:t>
      </w:r>
    </w:p>
    <w:p>
      <w:r>
        <w:rPr>
          <w:b/>
        </w:rPr>
        <w:t>E. 3.1</w:t>
      </w:r>
    </w:p>
    <w:p>
      <w:r>
        <w:t>Le 1er janvier 2022, sont entrées en vigueur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A/196/2025 - 8/17 -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rPr>
          <w:b/>
        </w:rPr>
        <w:t>E. 3.3</w:t>
      </w:r>
    </w:p>
    <w:p>
      <w:r>
        <w:t>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4.1</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 6 février 2023 consid. 4.2 et les références).</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A/196/2025 - 9/17 -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w:t>
      </w:r>
    </w:p>
    <w:p>
      <w:r>
        <w:t>A/196/2025 - 10/17 -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4.7</w:t>
      </w:r>
    </w:p>
    <w:p>
      <w:r>
        <w:t>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et sans que des investigations médicales supplémentaires ne soient nécessaires (cf. arrêt du Tribunal fédéral 9C_832/2019 du 6 mai 2020 consid. 2.2).</w:t>
      </w:r>
    </w:p>
    <w:p>
      <w:r>
        <w:rPr>
          <w:b/>
        </w:rPr>
        <w:t>E. 4.8</w:t>
      </w:r>
    </w:p>
    <w:p>
      <w:r>
        <w:t>Les médecins peuvent évaluer la capacité de travail d’une personne assurée sur une période remontant à plusieurs années dans le passé, par une appréciation rétrospective de la situation à l'aide des données du dossier et de l'examen de la personne concernée (arrêt du Tribunal fédéral 9C_80/2024 du 27 août 2024 consid. 5.1 et la référence).</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w:t>
      </w:r>
    </w:p>
    <w:p>
      <w:r>
        <w:t>A/196/2025 - 11/17 - l’administration ou le juge devrait statuer, dans le doute, en faveur de l’assuré (ATF 139 V 176 consid. 5.3).</w:t>
      </w:r>
    </w:p>
    <w:p>
      <w:r>
        <w:rPr>
          <w:b/>
        </w:rPr>
        <w:t>E. 5.2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w:t>
      </w:r>
    </w:p>
    <w:p>
      <w:r>
        <w:t>En l’espèce, la recourante nie qu’une amélioration de son état de santé se soit produite de manière durable et avec pour effet qu’elle a récupéré une capacité de travail totale dans une activité adaptée, du 1er octobre 2022 jusqu’au 31 mars 2024.</w:t>
      </w:r>
    </w:p>
    <w:p>
      <w:r>
        <w:t>L’intimé, en revanche, se fonde sur l’avis de son service SMR, qui estime que l’expertise réalisée par la Dre E______ a une pleine valeur probante et que l’experte considère que la situation de la polyarthrite rhumatoïde s’est stabilisée pendant l’année 2022, ce qui a entraîné un retour de la capacité de travail de l’assurée.</w:t>
      </w:r>
    </w:p>
    <w:p>
      <w:r>
        <w:rPr>
          <w:b/>
        </w:rPr>
        <w:t>E. 6.1</w:t>
      </w:r>
    </w:p>
    <w:p>
      <w:r>
        <w:t>L’affection dont souffre la recourante, soit une polyarthrite rhumatoïde, est considérée comme une maladie évoluant par poussées ou « par vagues » avec des périodes d’aggravation et de rémissions des symptômes.</w:t>
      </w:r>
    </w:p>
    <w:p>
      <w:r>
        <w:t>Le Tribunal fédéral s’est prononcé à plusieurs reprises sur les particularités des maladies de ce type, dès lors qu’il s’agissait de déterminer si la connexité temporelle de la maladie et de l’incapacité de travail qui en découlait, était maintenue, ou non, pendant une période de rémission.</w:t>
      </w:r>
    </w:p>
    <w:p>
      <w:r>
        <w:t>Dans son arrêt du 23 février 2021 (9C_333/2020) (consid. 5.3 et 5.4), le Tribunal fédéral a dû examiner si le lien de connexité temporelle avait été rompu dans le cas d’une assurée qui avait bénéficié d'une rente de l'assurance-invalidité dès le mois de mai 1999 et dont l'incapacité de travail ayant débuté dès le 18 août 2015,</w:t>
      </w:r>
    </w:p>
    <w:p>
      <w:r>
        <w:t>A/196/2025 - 12/17 - n'avait pas été interrompue pendant la période d'activité professionnelle à 100% du 1er août 2014 ou 18 août 2015. Il a constaté que les premiers juges avaient d'abord considéré que cette période d'activité avait constitué une tentative de reprise du travail. Après avoir constaté que l'assurée avait travaillé à 100% dès le 1er août 2014, sans présenter d'incapacité de travail médicalement attestée avant le 18 août 2015, la juridiction cantonale avait admis que l'incapacité durable de travail médicalement attestée dès cette dernière date trouvait sa cause dans l'activité professionnelle exercée à 100% dès le 1er août 2014, qui avait progressivement entraîné un épuisement des ressources de la recourante et une augmentation des symptômes. Dans le contexte d'un trouble schizo-affectif évoluant sous la forme de « poussées-rémissions », présent depuis de nombreuses années et ayant justifié l'octroi d'une rente entière de l'assurance-invalidité jusqu'au 30 avril 2015, soit pendant encore les neuf premiers mois de la période d'activité à 100% de la recourante, les premiers juges avaient considéré que le seul fait que cette atteinte à la santé n'ait pas entraîné de période d'arrêt de travail ou de diminution du taux d'activité pendant une année n'était pas suffisant pour interrompre le lien de connexité temporelle. À cet égard, les juges de Mon-Repos ont déclaré que « lorsque l'atteinte à la santé se caractérise par une alternance des périodes d'exacerbation et de rémission, comme c'est le cas en l'espèce, des troubles psychiques présentés par la recourante, une période de plusieurs mois pendant laquelle la personne assurée est en mesure d'exercer une activité professionnelle à plein temps ne signifie pas nécessairement que l'état de santé et la capacité de travail se sont durablement améliorés lorsque l'augmentation de la charge professionnelle entraîne après quelque temps une recrudescence des symptômes conduisant à une nouvelle incapacité de travail notable (arrêts 9C_515/2019 et 9C_578/2018 cités) ».</w:t>
      </w:r>
    </w:p>
    <w:p>
      <w:r>
        <w:t>Dans un arrêt du 20 janvier 2023 (9C_209/2022), le Tribunal fédéral a rappelé «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(ATF 144 V 58 consid. 4.4 et les références). Toutefois, cette durée de trois mois doit être relativisée lorsque l'activité en question doit être considérée comme une tentative de réinsertion, en particulier lorsque l'invalidité résulte d'une maladie évoluant par poussées, telle que la sclérose en plaque ou la schizophrénie. Lorsque les tableaux cliniques sont caractérisés par des symptômes évoluant par vagues, avec une alternance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 temps, en règle générale, une recrudescence des symptômes conduisant à une nouvelle incapacité</w:t>
      </w:r>
    </w:p>
    <w:p>
      <w:r>
        <w:t>A/196/2025 - 13/17 - de travail notable. La jurisprudence essaie d'en tenir compte en accordant une signification particulière aux circonstances de chaque cas d'espèce (arrêt 9C_333/2020 du 23 février 2021 consid. 5.2 et les références) » (consid. 6.2).</w:t>
      </w:r>
    </w:p>
    <w:p>
      <w:r>
        <w:t>Il appartient donc au juge de se fonder sur des « éléments objectifs importants » pour essayer de déterminer s’il y a eu, ou non, une rupture du lien de connexité temporelle ce qui, comme dans le cas d’espèce, pourrait être considéré comme une amélioration de l’état de santé susceptible de permettre de retenir, au degré de la vraisemblance prépondérante, qu’une amélioration notable et durable de l’état de santé a eu pour effet que l’assurée a bénéficié, entre deux périodes d’incapacité de travail, d’une période intermédiaire, lors de laquelle une capacité de travail entière peut lui être attribuée.</w:t>
      </w:r>
    </w:p>
    <w:p>
      <w:r>
        <w:t>L’intimé a considéré que cet état de fait pouvait être déduit du rapport d’expertise de la Dre E______, dont il s’agit d’examiner la valeur probante.</w:t>
      </w:r>
    </w:p>
    <w:p>
      <w:r>
        <w:rPr>
          <w:b/>
        </w:rPr>
        <w:t>E. 6.2</w:t>
      </w:r>
    </w:p>
    <w:p>
      <w:r>
        <w:t>La chambre de céans constate que l’experte a pris connaissance du dossier complet de la recourante, étudié et discuté les rapports pertinents y figurant, présenté une anamnèse détaillée et fouillée, et a retranscrit précisément les informations livrées par la recourante, s’agissant particulièrement de ses plaintes et habitudes.</w:t>
      </w:r>
    </w:p>
    <w:p>
      <w:r>
        <w:t>En ce qui concerne plus particulièrement la question de la rémission de la maladie et d’une stabilisation de l’état de santé de la recourante, la question a été posée par l’OAI soit de déterminer comment la capacité de travail [dans une activité adaptée] a évolué au fil du temps (début de l’IT, évolution de la CT, éventuellement date de l’aggravation). On constate que la réponse de l’experte est quelque peu lapidaire, cette dernière déclarant « elle n’est possible que depuis la stabilisation et la non-activité de la polyarthrite rhumatoïde en juin 2022. Cf. rapport médical du 17.06.2022, DAS–28–CRP à 1.6, et s’est maintenue depuis lors ». L’experte semble s’être fondée uniquement sur les valeurs de CRP rapportées dans le rapport médical du 17 juin 2022 établi par le rhumatologue B______ tel que résumé dans son rapport d’expertise (p. 12) relevant des « résultats satisfaisants sur le plan de la polyarthrite rhumatoïde. Tocilizumab : dernière perfusion le 10.05.2022 ». Or, le rhumatologue en question a relevé, dans son rapport du 9 mars 2023, un « effet de fin de dose au Tocilizumab douleurs articulaires très variables », avec un dosage sanguin DAS-28-CRP remonté à 1.42.</w:t>
      </w:r>
    </w:p>
    <w:p>
      <w:r>
        <w:t>L’interrogation suscitée par les variations du dosage sanguin ressort clairement du rapport d’analyse sanguine du 3 janvier 2024 (rapport d’expertise, p. 15) dans lequel il est relevé que « alors que la CRP est normale en août, en septembre, en octobre, en novembre [2023], elle est augmentée à 13.27 mg/l le 03.01.2024. Origine ? ».</w:t>
      </w:r>
    </w:p>
    <w:p>
      <w:r>
        <w:t>A/196/2025 - 14/17 -</w:t>
      </w:r>
    </w:p>
    <w:p>
      <w:r>
        <w:t>Questionnée sur ce point, l’assurée répond qu’elle ne sait pas « si la CRP augmentée début janvier [2024] est en lien avec une problématique pulmonaire traitée par antibiothérapie à fin décembre 2023 » (rapport d’expertise, p. 19). L’experte relève, à propos du taux de CRP à 13 mg/l, qu’il est « impératif de la mesurer de nouveau pour voir où Madame en est du point de vue inflammatoire, quelle que soit l’origine de cette inflammation ». L’experte mentionne également qu’après l’introduction de Tocilizumab, mi-janvier 2022, deux rechutes ont été signalées dans le rapport médical du Dr B______ du 12 octobre 2022 (rapport d’expertise, p. 19).</w:t>
      </w:r>
    </w:p>
    <w:p>
      <w:r>
        <w:t>Au moment de l’expertise, soit en mars 2024, l’experte rappelle que la polyarthrite rhumatoïde est une maladie inflammatoire chronique susceptible d’évoluer en dents de scie. Elle précise qu’actuellement le traitement est parfaitement mené et la maladie stabilisée. Le « pronostic sous traitement est relativement favorable » (rapport d’expertise, p. 38, ch. 7.1).</w:t>
      </w:r>
    </w:p>
    <w:p>
      <w:r>
        <w:t>Cette appréciation montre le caractère relatif de l’estimation d’une maladie avec évolution en dents de scie, l’experte relève que c’est « actuellement » que la maladie est stabilisée et que le pronostic sous traitement est « relativement » favorable.</w:t>
      </w:r>
    </w:p>
    <w:p>
      <w:r>
        <w:t>Or, dans son avis du 9 avril 2024, le SMR se montre beaucoup moins nuancé, déclarant que la capacité de travail est entière dans une activité adaptée dès juin 2022, moment où la maladie « est stable et non active ». Le SMR ignore la recommandation de l’experte, qui propose une reprise progressive à 50%, avec augmentation par paliers de 10% sur six mois, car il relève que l’experte indique en même temps que l’activité est exigible à raison de 8h/jour et à 100% dès juin 2022. Alors même que cette contradiction aurait dû susciter quelques doutes et amener le SMR à poser des questions complémentaires à l’experte, afin de mieux déterminer la question de la stabilité de l’état de santé, le SMR précise qu’il « s’écarte de l’avis de l’experte sur la reprise progressive étant donné que la maladie est en rémission depuis juin 2022 ».</w:t>
      </w:r>
    </w:p>
    <w:p>
      <w:r>
        <w:t>Cette conclusion semble quelque peu rapide, dans le cas d’une maladie évoluant par vagues et au regard de la jurisprudence du Tribunal fédéral citée supra, qui insiste sur la nécessité d’examiner de manière rigoureuse, en se fondant sur des éléments objectifs, la question de l’interruption du lien de connexité temporelle.</w:t>
      </w:r>
    </w:p>
    <w:p>
      <w:r>
        <w:rPr>
          <w:b/>
        </w:rPr>
        <w:t>E. 6.3</w:t>
      </w:r>
    </w:p>
    <w:p>
      <w:r>
        <w:t>Il y a également lieu de s’interroger sur la pertinence du critère du dosage sanguin retenu par l’experte pour fixer la période de rémission de la maladie en ce sens que dans son rapport médical du 8 juillet 2024, le Dr B______ mentionne sur trois dates le dosage sanguin relevé, soit : 1.42 en juin 2023 puis 2.2 en janvier 2024 et 1.15 en avril 2024, alors même que dans son avis médical du 9 août 2024, le SMR relève que lors de la prise de sang du 10 juillet 2024, le facteur rhumatoïde est à plus de 100 et les anticorps anti-peptide CCP sont à 333. Cette</w:t>
      </w:r>
    </w:p>
    <w:p>
      <w:r>
        <w:t>A/196/2025 - 15/17 - soudaine poussée montre à quel point la situation a pu s’aggraver entre le mois d’avril et le mois de juillet 2024.</w:t>
      </w:r>
    </w:p>
    <w:p>
      <w:r>
        <w:t>Dans son attestation du 17 mars 2025, le Dr B______ a expliqué que le traitement par Tocilizumab, sous forme de perfusion intraveineuse mensuelle administrée entre janvier 2022 et avril 2024 entraîne une suppression des réactifs de la phase aiguë, soit masque une éventuelle inflammation, car le traitement a pour effet d’abaisser la protéine C-réactive-CRP et peut fausser une appréciation uniquement fondée sur le taux de CRP. Le médecin cite un paragraphe correspondant du compendium suisse qui attire l’attention sur le fait que « l’inhibition de l’IL-6 peut atténuer la réponse à l’inflexion en termes de concentration de CRP et de nombre de neutrophiles ». En d’autres termes, une appréciation de la stabilité de la polyarthrite rhumatoïde uniquement fondée sur les analyses sanguines semble insuffisante en raison de l’effet inhibiteur du traitement par Tocilizumab.</w:t>
      </w:r>
    </w:p>
    <w:p>
      <w:r>
        <w:t>Or, dans son rapport d’expertise, la Dre E______ n’a pas soulevé ce point et semble, au contraire, s’être fondée sur le rapport médical du 17 juin 2022 du Dr B______ et le relevé de la DAS–28–CRP à 1.6 pour conclure à la stabilisation et à la non-activité de la polyarthrite rhumatoïde en juin 2022 (rapport d’expertise, p. 41, ch. 8.2). Étant encore précisé que la médecin traitant de l’assurée, la Dre F______, a attiré l’attention de l’OAI, dans son courrier de « contestation » du 25 juin 2024, sur le fait que l’assurée a toujours « des épisodes de douleurs, d’inflammations et d’impotence marquées » bien qu’à partir du 17 juin 2022, la capacité de travail ait été considérée comme entière par l’OAI.</w:t>
      </w:r>
    </w:p>
    <w:p>
      <w:r>
        <w:rPr>
          <w:b/>
        </w:rPr>
        <w:t>E. 6.4</w:t>
      </w:r>
    </w:p>
    <w:p>
      <w:r>
        <w:t>Au vu de ces éléments, la chambre de céans considère que le rapport d’expertise de la Dre E______ présente une pleine valeur probante, sauf en ce qui concerne la période de « rémission » et de stabilité à partir du mois de juin 2022 où des indices concrets permettent de considérer que les appréciations de l’experte ne sont pas suffisamment précises et étayées pour admettre, au degré de la vraisemblance prépondérante, qu’il y a véritablement eu rémission et stabilité de la maladie pendant une période de deux ans. Partant, la chambre de céans ne peut se prononcer sur l’objet du litige en se fondant sur des éléments extérieurs qui font défaut, dès lors qu’il n’y a pas eu de reprise ou d’interruption d’une activité salariée, qui aurait permis, comme dans les cas examinés par le Tribunal fédéral supra, d’isoler des éléments objectifs pouvant aider les juges à déterminer la rupture ou le maintien du lien de connexité temporelle. Compte tenu de ces lacunes, la cause sera renvoyée à l’intimé afin de poser des questions complémentaires à l’experte et d’établir, sur la base des rapports médicaux et à la lumière des précautions mentionnées par le Dr B______, dans son attestation médicale du 17 mars 2025 quant à l’interprétation des taux de</w:t>
      </w:r>
    </w:p>
    <w:p>
      <w:r>
        <w:t>A/196/2025 - 16/17 - CRP, s’il y a vraiment eu une amélioration notable de l’état de santé de l’assurée à partir de juin 2022 jusqu’à mars 2024 et si oui, à quelle(s) période(s) et pendant combien de temps.</w:t>
      </w:r>
    </w:p>
    <w:p>
      <w:r>
        <w:rPr>
          <w:b/>
        </w:rPr>
        <w:t>E. 7.1</w:t>
      </w:r>
    </w:p>
    <w:p>
      <w:r>
        <w:t>À l’aune de ce qui précède, le recours sera partiellement admis et la décision partiellement annulée, mais uniquement pour la période où le degré d’invalidité a été fixé à 4%, soit du 1er octobre 2022 jusqu’au 31 mars 2024. Pour la période antérieure au 1er octobre 2022 et celle postérieure au 31 mars 2024, la décision de l’OAI est confirmée.</w:t>
      </w:r>
    </w:p>
    <w:p>
      <w:r>
        <w:rPr>
          <w:b/>
        </w:rPr>
        <w:t>E. 7.2</w:t>
      </w:r>
    </w:p>
    <w:p>
      <w:r>
        <w:t>La recourante obtenant partiellement gain de cause et étant assistée d’une avocate, une indemnité de CHF 1’500.- lui sera accordée à titre de participation à ses frais et dépens (art. 61 let. g LPGA ; art. 6 du règlement sur les frais, émoluments et indemnités en matière administrative du 30 juillet 1986 [RFPA - E 5 10.03]).</w:t>
      </w:r>
    </w:p>
    <w:p>
      <w:r>
        <w:rPr>
          <w:b/>
        </w:rPr>
        <w:t>E. 7.3</w:t>
      </w:r>
    </w:p>
    <w:p>
      <w:r>
        <w:t>Au vu du sort du recours, il y a lieu de condamner l'intimé au paiement d'un émolument de CHF 200.- (art. 69 al. 1bis LAI).</w:t>
      </w:r>
    </w:p>
    <w:p>
      <w:r>
        <w:t>A/196/2025 - 17/17 -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