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ATAS/496/2015 vom 29. Juni 2015</w:t>
      </w:r>
    </w:p>
    <w:p>
      <w:r>
        <w:t>GE Cour de justice, 2015-06-29, FR</w:t>
      </w:r>
    </w:p>
    <w:p>
      <w:r>
        <w:rPr>
          <w:b/>
        </w:rPr>
        <w:t xml:space="preserve">Quelle: </w:t>
      </w:r>
      <w:r>
        <w:t>https://mcp.opencaselaw.ch/entscheid/ge_gerichte_ATAS_496_2015</w:t>
      </w:r>
    </w:p>
    <w:p>
      <w:r>
        <w:t>FR: GE_GERICHTE ATAS/496/2015 du 29 juin 2015</w:t>
      </w:r>
    </w:p>
    <w:p>
      <w:r>
        <w:t>IT: GE_GERICHTE ATAS/496/2015 del 29 giugno 2015</w:t>
      </w:r>
    </w:p>
    <w:p>
      <w:pPr>
        <w:pStyle w:val="Heading2"/>
      </w:pPr>
      <w:r>
        <w:t>Erwägungen</w:t>
      </w:r>
    </w:p>
    <w:p>
      <w:r>
        <w:rPr>
          <w:b/>
        </w:rPr>
        <w:t>E. 14</w:t>
      </w:r>
    </w:p>
    <w:p>
      <w:r>
        <w:t>Le 22 mai 2015, l'OAI a conclu au rejet du recours en se référant aux avis du SMR des 4 décembre 2014 et 10 mars 2015 et précisé que la décision litigieuse était un refus d'entrer en matière.</w:t>
      </w:r>
    </w:p>
    <w:p>
      <w:r>
        <w:rPr>
          <w:b/>
        </w:rPr>
        <w:t>E. 15</w:t>
      </w:r>
    </w:p>
    <w:p>
      <w:r>
        <w:t>Le 14 juin 2015, l'assurée a indiqué qu'elle avait fourni les éléments qui soutenaient une aggravation de son état de santé et transmettrait prochainement un rapport de chacun de ses médecins-traitants.</w:t>
      </w:r>
    </w:p>
    <w:p>
      <w:r>
        <w:rPr>
          <w:b/>
        </w:rPr>
        <w:t>E. 16</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L'objet du litige porte sur le refus de l'intimé d'entrer en matière sur la nouvelle demande de prestations de la recourante. 3. Interjeté en temps utile, le recours est recevable (art. 60 LPGA).</w:t>
      </w:r>
    </w:p>
    <w:p>
      <w:r>
        <w:t>A/1228/2015 - 6/10 - 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w:t>
      </w:r>
    </w:p>
    <w:p>
      <w:r>
        <w:t>A/1228/2015 - 7/10 -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4. En l'espèce, la recourante a transmis à l'intimé divers rapports médicaux dont un rapport du Dr B______ du 21 janvier 2015 attestant d'une aggravation de son état de santé par la pose d'une prothèse totale du genou gauche en 2011, entraînant une tuméfaction et des douleurs handicapantes, une lombosciatalgie chronique et une thymie influencée négativement. S'agissant des lombosciatalgies, le Dr B______ indique à l'OAI qu'il convient de prendre contact avec le Dr I______, lequel pourra fournir des détails concernant cette problématique, en relevant que la recourante a bénéficié de plusieurs infiltrations radiculaires. Le SMR avait retenu en mars 2008 un diagnostic de lombalgies communes sans répercussion sur la capacité de travail. Il convient de constater que l'avis du Dr B______, par la seule référence à un traitement d'infiltrations, n'a pas rendu plausible une augmentation des limitations fonctionnelles de la recourante qui pourraient avoir une influence sur l'exercice d'une activité lucrative adaptée, telle qu'estimée par le SMR en 2008 ou encore sur l'exercice de tâches ménagères, ce d'autant que le Dr B______ renvoie à l'appréciation du Dr I______ qui n'a pas été fournie à l'intimé. S'agissant des douleurs au genou gauche, le SMR avait, à la suite de son examen du 26 mars 2008, retenu un diagnostic de gonarthrose du compartiment interne gauche débutante et relevé qu'il n'avait pas d'incidence sur la capacité de travail. La pose d'une prothèse totale du genou gauche en 2011 démontre que l'état de santé s'est effectivement dégradé et a nécessité cette intervention et celle, subséquente, de libération de l'aileron rotulien en février 2014. Cependant, l'avis du Dr B______ n'est pas suffisant pour admettre que des limitations fonctionnelles avec</w:t>
      </w:r>
    </w:p>
    <w:p>
      <w:r>
        <w:t>A/1228/2015 - 8/10 - répercussion sur la capacité de travail, ou la réalisation des tâches ménagères, soient présentes, après la pose de la prothèse ou de l'intervention de février 2014, dans une mesure telle qu'elles limiteraient l'exigibilité retenue par le SMR en 2008. Enfin, le Dr B______ évoque une thymie influencée négativement par le décès du fils de la recourante en juillet 2014; le SMR avait déjà, en 2008, relevé que l'assurée se décrivait comme déprimée et fatiguée; elle présentait une thymie légèrement triste, une fatigabilité, des ruminations, une perte de confiance en soi; il avait posé le diagnostic de dysthymie à début tardif, sans répercussion sur la capacité de travail; il paraît probable que l'état psychique de la recourante se soit aggravé, tel que le Dr B______ le décrit; toutefois, celui-ci se réfère à un suivi psychologique auprès du Dr K______, lequel n'a pas fourni d'avis médical; dans ces circonstances, il n'est pas possible de considérer que la recourante a rendu plausible une aggravation de son état psychique, dans une mesure qui influence l'exigibilité retenue par le SMR en 2008, sur la seule base du rapport succinct du 21 janvier 2015 du Dr B______, invoquant une thymie influencée négativement. 5. Pour le reste, la recourante a fourni des documents médicaux dont on ne peut considérer qu'ils rendent plausible une aggravation de son état de santé, soit : - un rapport du Dr C______ du "1er décembre 2011" (recte : 2012), faisant état d'une bonne évolution de la situation après la pose de la prothèse totale du genou gauche; - un rapport de consultation aux HUG en 2013 pour des acouphènes existant de longue date (rapport HUG du 13 mars 2013); - un avis du Dr D______ avant l'intervention de libération de l'aileron rotulien (courrier du 22 janvier 2014) et le rapport d'intervention du 27 février 2014; - un rapport du 17 septembre 2014 attestant de quatre infiltrations radiculaires S1 droite, lequel ne discute pas des éventuelles limitations fonctionnelles induites par les lombosciatalgies; - un rapport d'IRM du 25 septembre 2014 attestant d'une petite hernie discale, de discopathies dont certaines peuvent être à l'origine de lombosciatalgies et d'arthrose. En l'absence d'un rapport d'un médecin spécialiste interprétant ce rapport d'IRM, il n'est pas possible de considérer qu'il contient à lui seul l'indice d'une aggravation plausible de l'état de santé de l'assurée; - un rapport du 16 janvier 2015 du Dr L______ attestant d'un hématome du genou gauche, soulagé par une simple ponction; - un rapport des HUG du 13 janvier 2015 attestant d'une suspicion d'arthrose septique au niveau du genou gauche, sans indiquer de limitations fonctionnelles. Quant à la recourante, elle s'est bornée à citer, le 9 avril 2015, le nom de ses médecins-traitants, et a indiqué, le 14 juin 2015, qu'elle allait transmettre des rapports détaillés des médecins spécialistes qui la suivaient.</w:t>
      </w:r>
    </w:p>
    <w:p>
      <w:r>
        <w:t>A/1228/2015 - 9/10 - Or, l'examen du bien-fondé d'un refus de l'intimé d'entrer en matière sur une nouvelle demande de prestations doit tenir compte uniquement des éléments médicaux que l'intimé avait en sa possession au jour de la décision litigieuse, de sorte que la chambre de céans ne peut prendre en compte ces rapports médicaux à venir. 6. Au vu de ce qui précède, il convient de constater que la recourante n'a pas rendu plausible une aggravation de son état de santé au sens de l'art. 87 al. 2 et 3 RAI, de sorte que le recours ne peut qu'être rejeté. Etant donné que depuis le 1er juillet 2006, la procédure n'est plus gratuite (art. 69 al. 1bis LAI), il y a lieu de condamner la recourante au paiement d'un émolument de CHF 200.-.</w:t>
      </w:r>
    </w:p>
    <w:p>
      <w:r>
        <w:t>Au demeurant, la recourante pourra, si elle est en possession des documents médicaux émanant notamment de ses médecins-traitants et alléguant une aggravation de son état de santé par la survenance de limitations fonctionnelles supplémentaires, déposer à nouveau une demande de révision auprès de l'intimé.</w:t>
      </w:r>
    </w:p>
    <w:p>
      <w:r>
        <w:t>A/1228/2015 - 10/10 -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