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ATAS/495/2019 vom 4. Juni 2019</w:t>
      </w:r>
    </w:p>
    <w:p>
      <w:r>
        <w:t>GE Cour de justice, 2019-06-04, FR</w:t>
      </w:r>
    </w:p>
    <w:p>
      <w:r>
        <w:rPr>
          <w:b/>
        </w:rPr>
        <w:t xml:space="preserve">Quelle: </w:t>
      </w:r>
      <w:r>
        <w:t>https://mcp.opencaselaw.ch/entscheid/ge_gerichte_ATAS_495_2019</w:t>
      </w:r>
    </w:p>
    <w:p>
      <w:r>
        <w:t>FR: GE_GERICHTE ATAS/495/2019 du 4 juin 2019</w:t>
      </w:r>
    </w:p>
    <w:p>
      <w:r>
        <w:t>IT: GE_GERICHTE ATAS/495/2019 del 4 giugno 2019</w:t>
      </w:r>
    </w:p>
    <w:p>
      <w:pPr>
        <w:pStyle w:val="Heading2"/>
      </w:pPr>
      <w:r>
        <w:t>Erwägungen</w:t>
      </w:r>
    </w:p>
    <w:p>
      <w:r>
        <w:rPr>
          <w:b/>
        </w:rPr>
        <w:t>E. 1</w:t>
      </w:r>
    </w:p>
    <w:p>
      <w:r>
        <w:t>La chambre de céans a déjà admis sa compétence et la recevabilité du recours, dont elle a également défini l’objet, dans son ordonnance du 21 novembre 2017. On peut y renvoyer.</w:t>
      </w:r>
    </w:p>
    <w:p>
      <w:r>
        <w:rPr>
          <w:b/>
        </w:rPr>
        <w:t>E. 2</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w:t>
      </w:r>
    </w:p>
    <w:p>
      <w:r>
        <w:t>A/2222/2017 - 20/27 -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3</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A/2222/2017 - 21/27 -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4</w:t>
      </w:r>
    </w:p>
    <w:p>
      <w:r>
        <w:t>Dans un arrêt récent, le Tribunal fédéral a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Le Tribunal fédéral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Même si un trouble psychique, pris séparément, n'est pas invalidant en application de la nouvelle jurisprudence, il doit être pris en considération dans l'appréciation globale de la capacité de travail, qui tient compte des effets réciproques des</w:t>
      </w:r>
    </w:p>
    <w:p>
      <w:r>
        <w:t>A/2222/2017 - 22/27 -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w:t>
      </w:r>
    </w:p>
    <w:p>
      <w:r>
        <w:t>A/2222/2017 - 23/27 - de tenir compte des différents éléments qui peuvent influencer le revenu d'une activité lucrative (ATF 126 V 75 consid. 5b).</w:t>
      </w:r>
    </w:p>
    <w:p>
      <w:r>
        <w:rPr>
          <w:b/>
        </w:rPr>
        <w:t>E. 6</w:t>
      </w:r>
    </w:p>
    <w:p>
      <w:r>
        <w:t>a. La chambre de céans s’est déjà déterminée sur la valeur probante de l’expertise des Drs J______, K______ et L______ dans son ordonnance du 21 novembre 2017 (ATAS/1041/2017). On peut confirmer ici l’appréciation qu’elle en a faite, dont il n’existe pas de motif de se distancer. En particulier, s’agissant des plaintes somatiques, le recourant ne fait pas valoir que l’intervention évoquée par le Dr S______ en 2018 aurait entraîné une incapacité de travail durable, et on ignore du reste si elle a eu lieu. Contrairement à ce qu’il affirme, une nouvelle évaluation de sa capacité de travail au plan physique ne s’impose pas. Pour ce qui a trait au volet psychiatrique, on peut également renvoyer aux motifs qui ont conduit la chambre de céans à écarter les conclusions du Dr L______. b. S’agissant du rapport du Dr Q______, il est fondé sur une étude approfondie du dossier, complétée par un entretien avec le médecin traitant du recourant et des examens de laboratoire. Il comporte une anamnèse fouillée et détaille les constatations objectives. L’expert s’est en outre expliqué des divergences avec ses confrères s’agissant des atteintes retenues, en indiquant les critères diagnostiques sur lesquels il se fondait. Ses conclusions quant à la capacité de travail du recourant sont en outre motivées. Les arguments de l’intimé – qui s’écarte du reste de l’avis de son propre service médical – ne suffisent pas à remettre en cause la force probante de l’expertise judiciaire. En effet, contrairement à ce qu’il semble affirmer, le Dr Q______ a bien analysé la situation du recourant à l’aune des nouveaux indicateurs jurisprudentiels, et il s’est notamment prononcé sur la cohérence. Il a noté dans ce cadre une discrépance entre les plaintes et les capacités du recourant et en a dûment tenu compte, puisqu’il a admis que le recourant conservait une capacité de travail substantielle. L’estimation de la capacité de travail par le Dr H______ – dont le degré de motivation ne satisfait du reste pas les exigences en la matière – ne suffit pas non plus à s’écarter des conclusions du Dr Q______, qui a motivé les différences d’appréciation. En outre, le Dr H______ annonçait lui-même en mars 2013 qu’une activité adéquate devait être possible à long terme, et il ne s’est pas prononcé sur la capacité de gain du recourant en février 2015. Partant, l’expertise du Dr Q______ revêt une pleine valeur probante. La chambre de céans se ralliera à son appréciation, selon laquelle le recourant présente une incapacité de travail de 35 % dans toute activité depuis janvier 2012.</w:t>
      </w:r>
    </w:p>
    <w:p>
      <w:r>
        <w:rPr>
          <w:b/>
        </w:rPr>
        <w:t>E. 7</w:t>
      </w:r>
    </w:p>
    <w:p>
      <w:r>
        <w:t>Il convient ainsi de procéder au calcul du degré d’invalidité du recourant. Le droit à la rente naissant au plus tôt une année après le début de l’incapacité de travail,</w:t>
      </w:r>
    </w:p>
    <w:p>
      <w:r>
        <w:t>A/2222/2017 - 24/27 - conformément au délai de carence prévu à l’art. 28 LAI, l’année déterminante pour le calcul du droit à la rente est 2013. Il convient de suivre l’intimé en tant qu’il retient que le recourant aurait poursuivi son activité de cuisinier sans atteinte à la santé. S’agissant du revenu sans invalidité, on peut ainsi recourir au revenu statistique correspondant tiré de l’ESS 2012 (TA1_tirage_skill_level, Lignes 55-56 Hébergement et restauration). Il y a cependant lieu de retenir une activité de niveau 2 afin de tenir compte du CFC du recourant, plutôt qu’un poste de niveau 1 englobant les activités simples et répétitives accessibles sans formation. Ce revenu s’élève à CHF 4'230.- par mois et CHF 50'760.- par an, ce qui correspond à CHF 53'341.- une fois indexé et adapté à la durée normale de travail de 41.7 heures en 2013. Quant au revenu d’invalide, selon la jurisprudence, le niveau de compétences 1, toutes activités confondues, des ESS dès 2012 s’applique en principe à tous les assurés qui ne peuvent plus accomplir leur ancienne activité parce qu’elle est physiquement trop astreignante mais qui conservent néanmoins une capacité de travail dans des travaux légers. Il est représentatif du revenu que ces assurés seraient en mesure de réaliser en tant qu’invalides, dès lors qu’il recouvre un large éventail d’activités variées et non qualifiées, n’impliquant pas de formation particulière si ce n’est une mise au courant initiale, et compatibles avec des limitations fonctionnelles peu contraignantes (arrêt du Tribunal fédéral 9C_633/2016 du 28 décembre 2016 consid. 4.3). C’est ainsi à juste titre que l’intimé s’est référé à ce revenu après invalidité, soit CHF 5'210.- par mois et CHF 62'520.-, et CHF 65'698.- par an après indexation et adaptation à la durée normale de travail en 2013. Compte tenu de la capacité de travail de 65 %, le revenu après invalidité est ainsi de CHF 42'703.70 avant déduction statistique. Reste à déterminer l’abattement à appliquer à ce revenu, étant rappelé que savoir s'il convient de procéder à un abattement sur le salaire statistique en raison des circonstances du cas particulier est une question de droit (arrêt du Tribunal fédéral 8C_553/2016 du 1er mai 2017 consid. 2). L'étendue de l'abattement justifié dans un cas concret relève en revanche du pouvoir d'appréciation (ATF 132 V 393 consid. 3.3). En l’espèce, l’intimé n’a opéré aucun abattement sur le revenu d’invalide dans son calcul du 23 novembre 2015, sans guère avancer d’arguments étayant sa position. Pourtant, au vu des circonstances, une telle déduction est justifiée. Selon la jurisprudence, l'âge d'un assuré ne constitue pas en soi un facteur de réduction du salaire statistique. Autrement dit, il ne suffit pas de constater qu'un assuré a dépassé la cinquantaine au moment du droit à la rente pour procéder à un abattement. L'effet de l'âge combiné avec un handicap doit faire l'objet d'un examen du cas concret, les possibles effets pénalisants au plan salarial induits par cette constellation aux yeux d'un potentiel employeur pouvant être compensés par d'autres éléments personnels ou professionnels tels que la formation et l'expérience professionnelle de l'assuré concerné (arrêt du Tribunal fédéral 8C_227/2017 du</w:t>
      </w:r>
    </w:p>
    <w:p>
      <w:r>
        <w:t>A/2222/2017 - 25/27 - 17 mai 2018 consid. 5). Par ailleurs, l’absence prolongée du marché du travail n’est pas déterminante dans le contexte d’une activité adaptée relevant de tâches manuelles simples, comme prise en référence à l’ESS 2014, niveau 1 (arrêt du Tribunal fédéral 9C 17/2018 du 17 avril 2018 consid. 4.3 et les références).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8C_131/2018 du 25 juillet 2018 consid. 5.2). Une réduction se justifie pour les hommes occupés à temps partiel pour des raisons de santé, dès lors qu’une activité à temps partiel est statistiquement moins bien rémunérée qu’une activité à temps complet (arrêt du Tribunal fédéral 9C_40/2011 du 1er avril 2011 consid. 2.3.1).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On peut notamment citer la casuistique suivante : le Tribunal fédéral a confirmé un abattement de 10 % dans le cas d’une assurée âgée de plus de 60 ans et inactive depuis 14 ans, dont la capacité de travail était de 70 % dans des activités légères adaptées à ses affections physiques et psychiques (arrêt du Tribunal fédéral 9C_391/2017 du 27 novembre 2017 consid. 5). Il a réduit à 10 % la déduction du salaire statistique d’un assuré né en 1965, souffrant de cervicalgies chroniques secondaires à une détérioration dégénérative, en soulignant que les limitations fonctionnelles présentées (pas de port de charges supérieures à 5 kilos, pas de position prolongée en flexion de la colonne vertébrale) étaient courantes (arrêt du Tribunal fédéral 9C_371/2013 du 22 août 2013 consid. 5.4). Notre Haute Cour a en outre confirmé l’abattement de 10 % pour un assuré âgé de 57 ans lors de la naissance du droit à la rente, et dont la capacité de travail s’élevait à 72 % dans une activité alternant les positions et sans port de charges lourdes (arrêt du Tribunal fédéral 8C_760/2014 du 15 octobre 2015 consid. 4.4.2). Elle a fait de même pour un assuré sans formation professionnelle, dont les limitations fonctionnelles consistaient en mesures classiques d’épargne de la nuque, capable de travailler à 100 % avec une diminution de rendement de 20 % (arrêt du Tribunal fédéral 9C_603/2015 du 25 avril 2016 consid. 6.2 et 8.1). Elle s’est écartée de la déduction augmentée à 25 % par l’instance inférieure s’agissant du revenu après invalidité d’un assuré ayant une capacité de travail de 50 % dans une activité de type semi-</w:t>
      </w:r>
    </w:p>
    <w:p>
      <w:r>
        <w:t>A/2222/2017 - 26/27 - sédentaire, n'impliquant pas le port de charges excessives et permettant de varier les positions. Ce faisant, elle a souligné que ni les limitations fonctionnelles, ni l’âge (55 ans) ne jouaient un rôle significatif, et elle s’est ralliée à l’abattement de 15 % initialement appliqué par l’assurance-invalidité (arrêt du Tribunal fédéral 9C_637/2014 du 6 mai 2015 consid. 5). Dans le cas d’espèce, en application de la jurisprudence citée, on peut admettre au vu des circonstances concrètes une déduction globale maximale de 15 % au vu de l’âge du recourant, de ses limitations fonctionnelles et de sa capacité de travail partielle. Elle porte le revenu après invalidité à CHF 36'298.-. La comparaison des revenus aboutit ainsi à un degré d’invalidité à 31.95 %, arrondi à 32 % selon les règles mathématiques (ATF 130 V 121 consid. 3). Ce taux n’ouvre pas droit à une rente. Il n’est pas inutile de souligner que même un abattement de 20 % ne conduirait pas à l’octroi d’une rente, puisqu’il porterait le degré d’invalidité à 35.95 %. Dès lors que les activités sur lesquelles se fonde le revenu d’invalide sont accessibles sans formation préalable, le recourant ne peut pas non plus prétendre à des mesures de réadaptation. La décision de l’intimé doit ainsi être confirmée.</w:t>
      </w:r>
    </w:p>
    <w:p>
      <w:r>
        <w:rPr>
          <w:b/>
        </w:rPr>
        <w:t>E. 8</w:t>
      </w:r>
    </w:p>
    <w:p>
      <w:r>
        <w:t>Le recours est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A/2222/2017 - 27/27 -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