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ATAS/495/2015 vom 29. Juni 2015</w:t>
      </w:r>
    </w:p>
    <w:p>
      <w:r>
        <w:t>GE Cour de justice, 2015-06-29, FR</w:t>
      </w:r>
    </w:p>
    <w:p>
      <w:r>
        <w:rPr>
          <w:b/>
        </w:rPr>
        <w:t xml:space="preserve">Quelle: </w:t>
      </w:r>
      <w:r>
        <w:t>https://mcp.opencaselaw.ch/entscheid/ge_gerichte_ATAS_495_2015</w:t>
      </w:r>
    </w:p>
    <w:p>
      <w:r>
        <w:t>FR: GE_GERICHTE ATAS/495/2015 du 29 juin 2015</w:t>
      </w:r>
    </w:p>
    <w:p>
      <w:r>
        <w:t>IT: GE_GERICHTE ATAS/495/2015 del 29 giugno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du Code Civil du 10 décembre 1907 -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a) Selon l'art. 22 al. 1 et 2 LFLP (nouvelle teneur en vigueur depuis le 1er janvier 2011), en cas de divorce, les prestations de sortie acquises durant le mariage sont partagées conformément aux art. 122 et 123 CC et des art. 280 et 281 CPC; les art.</w:t>
      </w:r>
    </w:p>
    <w:p>
      <w:r>
        <w:rPr>
          <w:b/>
        </w:rPr>
        <w:t>E. 3</w:t>
      </w:r>
    </w:p>
    <w:p>
      <w:r>
        <w:t>a)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b) Selon l'art. 124 al. 1 CC, une indemnité équitable est due lorsqu'un cas de prévoyance est déjà survenu pour l'un des époux ou pour les deux ou que les</w:t>
      </w:r>
    </w:p>
    <w:p>
      <w:r>
        <w:t>A/616/2015 5/7 prétentions en matière de prévoyance professionnelle acquises durant le mariage ne peuvent être partagées pour d'autres motifs. c) Selon l'art. 22b al. 1 et 2 LFLP, Lorsqu'une indemnité équitable est versée à l'un des époux en vertu de l'art. 124 CC, le jugement de divorce peut prescrire qu'une partie de la prestation de sortie sera imputée sur l'indemnité équitable (al. 1). Le juge notifie d'office à l'institution de prévoyance le montant à transférer et lui fournit les indications nécessaires au maintien de la prévoyance; pour le transfert, les art. 3 à 5 sont applicables par analogie (al. 2).</w:t>
      </w:r>
    </w:p>
    <w:p>
      <w:r>
        <w:rPr>
          <w:b/>
        </w:rPr>
        <w:t>E. 4</w:t>
      </w:r>
    </w:p>
    <w:p>
      <w:r>
        <w:t>a) Le jugement de divorce, entré en force, lie en principe le juge compétent en vertu de l'art. 73 al. 1 LPP en ce qui concerne le partage à exécuter (ATF 134 V 384 consid. 4.2 p. 389). Est réservé le cas où le juge des assurances sociales constate que le partage des prestations de sortie au sens de l'art. 122 CC est impossible en raison de la survenance d'un cas de prévoyance. Il doit alors transmettre d'office la cause au juge du divorce comme objet de sa compétence (ATF 136 V 225). Les dispositions légales applicables aux prétentions découlant de la prévoyance professionnelle en cas de divorce opèrent une distinction selon qu'un cas de prévoyance est survenu ou non. Par survenance d'un cas de prévoyance au sens des art. 122 et 124 CC, il faut entendre la naissance d'un droit concret à des prestations de la prévoyance professionnelle, qui rend impossible le partage des avoirs de prévoyance à la base des prestations servies. Ainsi, la survenance de l'âge de la retraite ou d'une invalidité, qui entraîne le droit à des prestations d'une institution de prévoyance, rend impossible le partage des avoirs de prévoyance, si minimes soient les prestations versées ou les avoirs à leur base (consid. 4.1 non publié de l'ATF 136 V 225 et les références), de sorte que l'art. 124 CC est applicable. Cette disposition s'applique cependant aussi lorsqu'aucun cas de prévoyance n'est survenu, mais que le partage n'est pas possible "pour d'autres motifs". Ce qui est dès lors déterminant pour délimiter les prétentions selon l'art. 122 et l'art. 124 CC, c'est le point de savoir si le partage des prestations de sortie est techniquement possible sans réserve (ATF 129 III 481 consid. 3.2.1 in fine p. 484 ; ATF 9C_515/2011 du 12 octobre 2011, consid. 4.1 et 6.1). b) De façon générale, il n'appartient pas au juge des assurances sociales de se substituer au juge du divorce et d'examiner lui-même la question de l'indemnité équitable selon l'art. 124 CC (voir également le texte de l'art. 22b LFLP). Seul le juge du divorce dispose d'une vision d'ensemble de la situation économique concrète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(ATF 131 III 1 consid. 4.2 p. 4 et la référence). Les besoins personnels ou la capacité contributive du débiteur, ou encore les besoins de prévoyance du bénéficiaire constituent des critères qu'il convient spécialement d'examiner (ATF 133 III 401 consid. 3.2 p. 404). Dans un cas de prévoyance lié à</w:t>
      </w:r>
    </w:p>
    <w:p>
      <w:r>
        <w:t>A/616/2015 6/7 l'invalidité, il faut également tenir compte de l'éventualité d'une augmentation ultérieure du taux d'invalidité du débiteur et du besoin de prévoyance consécutif de ce dernier (ATF 129 III 481 consid. 3.2.3 p. 485 ; ATF 136 V 225 consid. 5.4). Lorsque le juge des assurances constate que le partage des prestations de sortie au sens de l'art. 122 CC est impossible en raison de la survenance d'un cas de prévoyance, il doit transmettre d'office la cause au juge du divorce comme objet de sa compétence. Celui-ci est tenu de reprendre l'instruction de la cause sur la question de la prévoyance professionnelle et de rendre, après avoir entendu les parties, un nouveau jugement sur ce point (ATF 136 V 225 consid. 5.3 et 5.5).</w:t>
      </w:r>
    </w:p>
    <w:p>
      <w:r>
        <w:rPr>
          <w:b/>
        </w:rPr>
        <w:t>E. 5</w:t>
      </w:r>
    </w:p>
    <w:p>
      <w:r>
        <w:t>a) En l’espèce, le juge de première instance a ordonné le partage par moitié des prestations de sortie acquises durant le mariage par les demandeurs. Les dates pertinentes sont, d’une part, celle du mariage, le 25 novembre 2004, d’autre part le 27 janvier 2015, date à laquelle le jugement de divorce est devenu exécutoire. b) Selon les documents au dossier, la prestation acquise pendant le mariage par le demandeur est de CHF 30'562.60, soit CHF 17'266.75 auprès de la FPMB, Fondation de Prévoyance de la Métallurgie et du Bâtiment et CHF 13'295.85 auprès de la Fondation institution supplétive LPP, les intérêts ayant déjà été calculés par les institutions de prévoyance défenderesses; en revanche, il n'a pas été possible d'établir le montant acquis par la demanderesse pendant la durée du mariage, celle- ci ayant été mise au bénéfice d'une rente d'invalidité depuis le 1er juillet 2011. A cet égard, la caisse de pension Coop a indiqué que le partage des prestations n'était plus possible, la demanderesse bénéficiant d'une rente d'invalidité (LPP) depuis le 1er juillet 2011, laquelle était cependant suspendue en raison d'une surassurance. Il est cependant établi que l'avoir de prévoyance de la demanderesse était de CHF 760.47 au 12 décembre 2013, jour du transfert de celui-ci par la Fondation institution supplétive LPP à la caisse de pension Coop.</w:t>
      </w:r>
    </w:p>
    <w:p>
      <w:r>
        <w:rPr>
          <w:b/>
        </w:rPr>
        <w:t>E. 6</w:t>
      </w:r>
    </w:p>
    <w:p>
      <w:r>
        <w:t>Au vu de ce qui précède, il convient de constater que le partage des prestations n'est plus possible, un cas de prévoyance étant survenu (art. 124 CC et jurisprudence précitée).</w:t>
      </w:r>
    </w:p>
    <w:p>
      <w:r>
        <w:t>La cause doit en conséquence être transmise au juge civil afin que celui-ci fixe une indemnité équitable (ATF 136 V 225).</w:t>
      </w:r>
    </w:p>
    <w:p>
      <w:r>
        <w:rPr>
          <w:b/>
        </w:rPr>
        <w:t>E. 7</w:t>
      </w:r>
    </w:p>
    <w:p>
      <w:r>
        <w:t>Aucun émolument ne sera perçu, la procédure étant gratuite (art. 73 al. 2 LPP et 89H al. 1 de la loi sur la procédure administrative du 12 septembre 1985).</w:t>
      </w:r>
    </w:p>
    <w:p>
      <w:r>
        <w:t>***</w:t>
      </w:r>
    </w:p>
    <w:p>
      <w:r>
        <w:t>A/616/2015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