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ATAS/495/2011 vom 19. Mai 2011</w:t>
      </w:r>
    </w:p>
    <w:p>
      <w:r>
        <w:t>GE Cour de justice, 2011-05-19, FR</w:t>
      </w:r>
    </w:p>
    <w:p>
      <w:r>
        <w:rPr>
          <w:b/>
        </w:rPr>
        <w:t xml:space="preserve">Quelle: </w:t>
      </w:r>
      <w:r>
        <w:t>https://mcp.opencaselaw.ch/entscheid/ge_gerichte_ATAS_495_2011</w:t>
      </w:r>
    </w:p>
    <w:p>
      <w:r>
        <w:t>FR: GE_GERICHTE ATAS/495/2011 du 19 mai 2011</w:t>
      </w:r>
    </w:p>
    <w:p>
      <w:r>
        <w:t>IT: GE_GERICHTE ATAS/495/2011 del 19 maggio 2011</w:t>
      </w:r>
    </w:p>
    <w:p>
      <w:pPr>
        <w:pStyle w:val="Heading2"/>
      </w:pPr>
      <w:r>
        <w:t>Erwägungen</w:t>
      </w:r>
    </w:p>
    <w:p>
      <w:r>
        <w:rPr>
          <w:b/>
        </w:rPr>
        <w:t>E. 1</w:t>
      </w:r>
    </w:p>
    <w:p>
      <w:r>
        <w:t>Conformément à l'art. 56 V al. 1 let. a ch. 2 de la loi sur l'organisation judiciaire, du 22 novembre 1941 en vigueur jusqu’au 31 décembre 2010 (aLOJ; RS E 2 05), le</w:t>
      </w:r>
    </w:p>
    <w:p>
      <w:r>
        <w:t>A/983/2010 - 5/10 -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Le recours ayant été déposé dans le respect des forme et délai légaux, il y a lieu d'entrer en matière.</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19 février 2010, est postérieure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4</w:t>
      </w:r>
    </w:p>
    <w:p>
      <w:r>
        <w:t>Est litigieuse en l'espèce la suppression de la rente entière d'invalidité versée au recourant en septembre 2008, date à laquelle la formation prise en charge par l'intimé a pris fin. Seule est contestée la mesure dans laquelle la rente allouée</w:t>
      </w:r>
    </w:p>
    <w:p>
      <w:r>
        <w:t>A/983/2010 - 6/10 - jusqu'alors au recourant devait être réduite mais non le fait que les conditions d'une révision du droit à la rente sont présentement remplies.</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t>A/983/2010 - 7/10 -</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w:t>
      </w:r>
    </w:p>
    <w:p>
      <w:r>
        <w:t>A/983/2010 - 8/10 -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9</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w:t>
      </w:r>
    </w:p>
    <w:p>
      <w:r>
        <w:rPr>
          <w:b/>
        </w:rPr>
        <w:t>E. 10</w:t>
      </w:r>
    </w:p>
    <w:p>
      <w:r>
        <w:t>En l'espèce, il convient d'examiner si l'on peut considérer qu'en septembre 2008, l'assuré avait déjà recouvré une pleine capacité de gain ou si cela n'a été le cas que postérieurement, au moment où il a pu obtenir l'autorisation d'exercer la profession de taximan à titre indépendant. L'évaluation du Dr L__________ doit se voir reconnaître pleine valeur probante. En effet, il n'est pas contesté que son rapport remplit tous les réquisits posés par la jurisprudence à cet égard. Qui plus est, le psychiatre traitant a lui-même admis qu'il n'avait aucun reproche à formuler au rapport du Dr L__________ sur le fond et que la seule remarque qu'il pouvait formuler portait plutôt sur la forme, plus particulièrement sur le fait que la rente allouée à son patient ait été purement et simplement supprimée plutôt que réduite progressivement. Cette remarque du psychiatre traitant, si elle peut se comprendre de son point de vue, n'est cependant pas pertinente dans la mesure où la loi sur l'assurance- invalidité ne prévoit aucune "période d'adaptation" s'il s'avère que l'assuré a bel et bien théoriquement retrouvé une pleine et entière capacité de travail, ce qui est le</w:t>
      </w:r>
    </w:p>
    <w:p>
      <w:r>
        <w:t>A/983/2010 - 9/10 - cas en l'occurrence. Certes, durant la période litigieuse - de septembre 2008 à décembre 2010 -, l'assuré n'a exercé qu'à 50%. Le psychiatre traitant ne prétend cependant pas qu'il n'aurait pu travailler à plein temps s'il avait déjà pu aménager ses horaires à sa guise. Or, on ne saurait faire dépendre le degré d'invalidité du recourant du délai nécessaire à ce dernier pour obtenir l'autorisation d'exercer en tant qu'indépendant. L'obtention des plaques ne relève en effet aucunement de l'assurance-invalidité. Qui plus est, ainsi que le fait remarquer le SMR, il a été constaté en janvier 2009 par le Dr L__________ que les changements d'horaires auxquels avait dû faire face l'assuré n'avaient pas eu de répercussion sur son status psychiatrique. Le fait que cela soit dû à l'augmentation de la médication n'y change rien. Il ressort des considérations qui précèdent que c'est à juste titre que l'intimé a considéré l'assuré apte à exercer à plein temps au terme de sa formation. Le recours est donc rejeté.</w:t>
      </w:r>
    </w:p>
    <w:p>
      <w:r>
        <w:t>A/983/2010 - 10/10 -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