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ATAS/494/2017 vom 15. September 2014</w:t>
      </w:r>
    </w:p>
    <w:p>
      <w:r>
        <w:t>GE Cour de justice, 2014-09-15, FR</w:t>
      </w:r>
    </w:p>
    <w:p>
      <w:r>
        <w:rPr>
          <w:b/>
        </w:rPr>
        <w:t xml:space="preserve">Quelle: </w:t>
      </w:r>
      <w:r>
        <w:t>https://mcp.opencaselaw.ch/entscheid/ge_gerichte_ATAS_494_2017</w:t>
      </w:r>
    </w:p>
    <w:p>
      <w:r>
        <w:t>FR: GE_GERICHTE ATAS/494/2017 du 15 septembre 2014</w:t>
      </w:r>
    </w:p>
    <w:p>
      <w:r>
        <w:t>IT: GE_GERICHTE ATAS/494/2017 del 15 settembre 2014</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la forme et le délai prévus par la loi, le recours est recevable (art. 56 et 60 de la loi fédérale sur la partie générale du droit des assurances sociales du</w:t>
      </w:r>
    </w:p>
    <w:p>
      <w:r>
        <w:rPr>
          <w:b/>
        </w:rPr>
        <w:t>E. 6</w:t>
      </w:r>
    </w:p>
    <w:p>
      <w:r>
        <w:t>L'intérêt de la personne assurée à pouvoir continuer à bénéficier des prestations qu'elle percevait jusqu'alors n'est pas d'une importance décisive, tant qu'il n'y a pas lieu d'admettre que, selon toute vraisemblance, elle l'emportera dans la cause</w:t>
      </w:r>
    </w:p>
    <w:p>
      <w:r>
        <w:t>A/2407/2017 - 5/7 -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7</w:t>
      </w:r>
    </w:p>
    <w:p>
      <w:r>
        <w:t>En l’espèce, le SPC a, dans sa décision du 16 mai 2017, expressément retiré l’effet suspensif à un éventuel recours. Or, s’agissant d’une décision refusant l’octroi de prestation, il ne lui était pas nécessaire de le préciser. Une décision négative ne peut en effet avoir un effet suspensif automatique, dès lors qu’un tel effet reviendrait précisément à accorder ce qui a été refusé. Les effets d’une telle décision ne sont pas susceptibles d’être suspendus pendant une procédure de recours (arrêt du Tribunal fédéral 8C 339/2009 ; ATAS/2/2017). Aussi la demande visant à obtenir le rétablissement de l’effet suspensif est-elle sans objet.</w:t>
      </w:r>
    </w:p>
    <w:p>
      <w:r>
        <w:rPr>
          <w:b/>
        </w:rPr>
        <w:t>E. 8</w:t>
      </w:r>
    </w:p>
    <w:p>
      <w:r>
        <w:t>On pourrait admettre que la requête de l’intéressé tendant à l'octroi immédiat de la prise en charge des frais médicaux 2016 est une demande de mesures provisionnelles. Selon l'art. 56 PA,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principes développés à propos des art. 55 PA et 97 LAVS sont applicables par analogie dans le cadre de l'art. 56 PA (ATF 117 V 191 consid. 2b). En particulier, l'autorité doit procéder à une pesée des intérêts en présence; les mesures doivent être justifiées par un intérêt privé ou public prépondérant (BOVAY, op. cit. p. 414).</w:t>
      </w:r>
    </w:p>
    <w:p>
      <w:r>
        <w:t>A/2407/2017 - 6/7 - Les mesures provisionnelles ne sont ainsi légitimes, aux termes de la loi, que si elles s'avèrent nécessaires au maintien de l'état de fait ou à la sauvegarde des intérêts compromis. En revanche, elles ne sauraient, en principe tout au moins, anticiper sur le jugement définitive,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En l'espèce, la question de savoir si l’intéressé a droit ou non à la prise en charge de ses frais médicaux 2016 relève indiscutablement du droit de fond. Partant, la requête en mesures provisionnelles, mal fondée, est rejetée.</w:t>
      </w:r>
    </w:p>
    <w:p>
      <w:r>
        <w:t>A/2407/2017 - 7/7 -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