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ATAS/493/2016 vom 16. Juni 2016</w:t>
      </w:r>
    </w:p>
    <w:p>
      <w:r>
        <w:t>GE Cour de justice, 2016-06-16, FR</w:t>
      </w:r>
    </w:p>
    <w:p>
      <w:r>
        <w:rPr>
          <w:b/>
        </w:rPr>
        <w:t xml:space="preserve">Quelle: </w:t>
      </w:r>
      <w:r>
        <w:t>https://mcp.opencaselaw.ch/entscheid/ge_gerichte_ATAS_493_2016</w:t>
      </w:r>
    </w:p>
    <w:p>
      <w:r>
        <w:t>FR: GE_GERICHTE ATAS/493/2016 du 16 juin 2016</w:t>
      </w:r>
    </w:p>
    <w:p>
      <w:r>
        <w:t>IT: GE_GERICHTE ATAS/493/2016 del 16 giugno 2016</w:t>
      </w:r>
    </w:p>
    <w:p>
      <w:pPr>
        <w:pStyle w:val="Heading2"/>
      </w:pPr>
      <w:r>
        <w:t>Erwägungen</w:t>
      </w:r>
    </w:p>
    <w:p>
      <w:r>
        <w:rPr>
          <w:b/>
        </w:rPr>
        <w:t>E. 20</w:t>
      </w:r>
    </w:p>
    <w:p>
      <w:r>
        <w:t>décembre 1946 (LAVS ; RS 831.10) dans la mesure où la LAFam ou la LAF y renvoie (let. c) et par la LAF et ses dispositions d'exécution (let. d) ; Qu’interjeté dans les délai et forme prescrits par la loi, le recours est recevable (art. 56ss LPGA ; 38A LAF) ; Qu’en vertu de l’art. 53 al. 3 LPGA, l’assureur peut reconsidérer une décision contre laquelle un recours est formé jusqu’à l’envoi de son préavis ; Qu'en l'occurrence, l'intimée a ainsi proposé l’admission du recours et le renvoi du dossier pour nouvelle décision conforme à son ancienne pratique ; Qu'il convient dès lors de rendre un arrêt en ce sens.</w:t>
      </w:r>
    </w:p>
    <w:p>
      <w:r>
        <w:t>A/1329/2016 - 3/3 - PAR CES MOTIFS, LA CHAMBRE DES ASSURANCES SOCIALES : Statuant A la forme 1. Déclare le recours recevable. Au fond 2. L’admet. 3. Annule la décision du 14 mars 2016. 4. Renvoie la cause à l’intimée pour nouvelle décision.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