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ATAS/493/2015 vom 29. Juni 2015</w:t>
      </w:r>
    </w:p>
    <w:p>
      <w:r>
        <w:t>GE Cour de justice, 2015-06-29, FR</w:t>
      </w:r>
    </w:p>
    <w:p>
      <w:r>
        <w:rPr>
          <w:b/>
        </w:rPr>
        <w:t xml:space="preserve">Quelle: </w:t>
      </w:r>
      <w:r>
        <w:t>https://mcp.opencaselaw.ch/entscheid/ge_gerichte_ATAS_493_2015</w:t>
      </w:r>
    </w:p>
    <w:p>
      <w:r>
        <w:t>FR: GE_GERICHTE ATAS/493/2015 du 29 juin 2015</w:t>
      </w:r>
    </w:p>
    <w:p>
      <w:r>
        <w:t>IT: GE_GERICHTE ATAS/493/2015 del 29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en temps utile, le recours est recevable (art. 56ss LPGA).</w:t>
      </w:r>
    </w:p>
    <w:p>
      <w:r>
        <w:rPr>
          <w:b/>
        </w:rPr>
        <w:t>E. 3</w:t>
      </w:r>
    </w:p>
    <w:p>
      <w:r>
        <w:t>Le litige porte sur le point de savoir si c’est à bon droit que l’intimé a supprimé la rente d’invalidité du recourant.</w:t>
      </w:r>
    </w:p>
    <w:p>
      <w:r>
        <w:rPr>
          <w:b/>
        </w:rPr>
        <w:t>E. 4</w:t>
      </w:r>
    </w:p>
    <w:p>
      <w:r>
        <w:t>On peut envisager quatre cas dans lesquels un conflit peut surgir entre une situation juridique actuelle et une décision de prestations, assortie d'effets durables, entrée en force formelle (ATF 127 V 10 consid. 4b): une constatation inexacte des faits (inexactitude initiale sur les faits) peut, à certaines conditions, être corrigée par une révision procédurale (art.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w:t>
      </w:r>
    </w:p>
    <w:p>
      <w:r>
        <w:t>A/344/2015 - 23/30 - suite d'une modification des fondements juridiques déterminants survenue après le prononcé de la décision (ATF 135 V 215 consid. 4.1)</w:t>
      </w:r>
    </w:p>
    <w:p>
      <w:r>
        <w:rPr>
          <w:b/>
        </w:rPr>
        <w:t>E. 5</w:t>
      </w:r>
    </w:p>
    <w:p>
      <w:r>
        <w:t>Pour juger s'il est admissible de reconsidérer une décision, pour le motif qu'elle est sans nul doute erronée, il faut se fonder sur la situation juridique existant au moment où la décision a été rendue, compte tenu de la pratique en vigueur à l'époque (ATF 119 V 475 consid. 1b/cc). Par le biais de la reconsidération, on corrigera une application initiale erronée du droit, de même qu'une constatation erronée résultant de l'appréciation des faits (ATF 117 V 8 consid. 2c).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des assurances I 12/04 du 14 avril 2005 consid. 3.2). Ainsi,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(arrêt du Tribunal fédéral 9C_1081/2009 du 10 juin 2010 consid. 3.2).</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9C_89/2013 du 12 août 2013 consid. 4.1 ; arrêt du Tribunal fédéral 9C_431/2009 du 3 novembre 2009 consid. 2.1).</w:t>
      </w:r>
    </w:p>
    <w:p>
      <w:r>
        <w:t>A/344/2015 - 24/30 -</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A/344/2015 - 25/30 -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8</w:t>
      </w:r>
    </w:p>
    <w:p>
      <w:r>
        <w:t>juin 2015). Eu égard à ces éléments, les conditions de la révision au sens de l’art. 17 LPGA ne sont pas réalisées.</w:t>
      </w:r>
    </w:p>
    <w:p>
      <w:r>
        <w:rPr>
          <w:b/>
        </w:rPr>
        <w:t>E. 9</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 arrêt du Tribunal fédéral des assurances I 406/05 du 13 juillet 2006 consid. 5.1). L’intimé a confirmé le bien-fondé de l’expertise de la Dresse F______ lors de l’audience du 8 juin 2015. Sur ce point, la chambre de céans ne peut que se rallier à l’avis de l’intimé. En effet, le rapport de la Dresse F______ contient tous les éléments nécessaires pour se voir reconnaître pleine valeur probante selon la jurisprudence. Pour ce motif déjà, on ne peut considérer que la décision initiale de rente – laquelle se fonde sur les conclusions de la psychiatre du SMR – était manifestement erronée. L’expertise du Dr M______ revient pourtant sur l’analyse de la première experte désignée par l’intimé, puisqu’elle conclut à une entière capacité de travail du recourant à une période où la Dresse F______ l’a reconnu entièrement incapable de travailler. Les conclusions des deux experts sont inconciliables. On doit ainsi considérer que les constatations du Dr M______ sont une appréciation différente d’un même état de fait, qui ne suffit pas à reconsidérer la décision initiale d’octroi de rente. C’est ainsi à juste titre que l’intimé a exclu la reconsidération, comme il l’a déclaré lors de l’audience du 8 juin 2015.</w:t>
      </w:r>
    </w:p>
    <w:p>
      <w:r>
        <w:t>A/344/2015 - 27/30 -</w:t>
      </w:r>
    </w:p>
    <w:p>
      <w:r>
        <w:rPr>
          <w:b/>
        </w:rPr>
        <w:t>E. 10</w:t>
      </w:r>
    </w:p>
    <w:p>
      <w:r>
        <w:t>Par surabondance, compte tenu des circonstances, il n’est pas inutile de se pencher sur la valeur probante de l’expertise du Dr M______. Au plan formel, ce rapport contient certes tous les éléments indispensables selon la jurisprudence exposée ci-dessus, même s'il existe une certaine confusion entre l’anamnèse et le résumé des pièces du dossier, ce qui ne constitue toutefois qu’un détail, qui pris isolément ne suffit pas à écarter l’expertise. Le recourant a immédiatement remis en cause la partialité de l’expert à la suite de ses entretiens. Si l’intimé affirme que le rapport du Dr M______ ne contient aucune mention dépréciative, ce qui permet de réfuter le parti pris de cet expert, on s’étonne néanmoins de voir tout un chapitre dévolu aux activités qui ont fait l’objet de l’enquête de l’intimé. Il semble que le Dr M______ a consacré une partie importante de l’expertise à interroger le recourant sur chacune de ces activités, alors que ce dernier s’en était déjà longuement expliqué auprès de l’OAI et qu’aucune violation de son obligation de renseigner ne peut lui être reprochée sur ce point, comme l’a retenu la chambre de céans. Il est certes indispensable qu’un expert se prononce sur la compatibilité de certaines activités avec les diagnostics posés par le passé pour déterminer si une amélioration de l’état de santé s’est effectivement produite. Ce chapitre ne contient toutefois aucune analyse de cet ordre mais se borne à rapporter des explications déjà connues, ce qui n’amène aucun renseignement utile. Enfin, compte tenu des formulations utilisées par l’expert, ce dernier paraît effectivement mettre en doute les déclarations de l’assuré. Il qualifie d’ailleurs les activités du recourant de « problèmes ». On peut dès lors se demander s’il a fait preuve de la neutralité nécessaire. Cette question peut toutefois rester ouverte en l’espèce, eu égard à l’issue du litige. Sur le fond, les conclusions de l’expertise appellent les commentaires suivants. On ne saurait suivre le Dr M______ lorsqu’il affirme que le recourant avait quitté l’emploi que lui avait procuré un ami en 2005 non pour des raisons de santé, mais parce qu’il ne s’agissait pas d’un emploi pérenne. En effet, un tel élément ne ressort pas des indications du recourant telles qu’elles ont été rapportées par l’expert. Par ailleurs, une durée de cotisations de trois mois serait insuffisante à ouvrir à nouveau le droit au chômage, de sorte que les affirmations de l’expert sur les raisons de la cessation de cette activité en 2005, selon lui sans lien avec des problèmes de santé, doivent être considérées avec prudence. De plus, le Dr M______ relève qu’il n’existe pas de rapport médical pour la période de décembre 2007 à avril 2012. Compte tenu de cet élément, on peut légitimement se demander comment l’expert – qui ne motive guère ses conclusions et n’expose pas comment il surmonte cette difficulté méthodologique – est en mesure de statuer sur la capacité de travail du recourant durant cette période. S’agissant ensuite des plaintes psychiques, nombreuses aux dires de l’expert, seules des attaques de panique sont rapportées. Cela paraît contradictoire et permet de penser que l’expert n’a pas mentionné l’ensemble des troubles psychiques relatés par le recourant. Enfin, on ne peut que s’étonner de l’extrême brièveté du status</w:t>
      </w:r>
    </w:p>
    <w:p>
      <w:r>
        <w:t>A/344/2015 - 28/30 - clinique. Au vu des contradictions flagrantes entre les éléments rapportés par les autres médecins et des conclusions diamétralement opposées du Dr M______ d’une part et des Drs F______ et D______ d’autre part, on pouvait attendre de celui-ci qu’il expose de manière plus complète ses observations, notamment afin de motiver ses diagnostics. Ceux-ci paraissent au demeurant contradictoires. L’expert retient en effet un trouble anxieux phobique (F 40) sans incidence sur la capacité de travail, alors qu’il affirme n’avoir pas constaté de manifestation d’anxiété. Il soutient par ailleurs que ce trouble n’aurait jamais empêché le recourant d’entretenir des relations amicales, professionnelles et affectives. Or, la pauvreté des relations familiales et sociales du recourant ressort clairement de l’anamnèse, et le Dr M______ considère précisément que cet élément concourt à infirmer l’existence d’un trouble de la personnalité de type borderline, ce qui est pour le moins contradictoire. Il a écarté le trouble de la personnalité émotionnellement labile posé par ses confrères en affirmant que ses caractéristiques n’étaient pas réunies, car aucune tendance à agir avec impulsivité ne ressortait de l’anamnèse. Le Dr M______ a pourtant relaté que le recourant aurait abandonné ses études d’une manière pour le moins abrupte. Le recourant semble de plus s’être plusieurs fois trouvé dans des situations précaires – en quittant le foyer familial à 17 ans, puis en se retrouvant sans travail ni logement – ce qui pourrait également découler de réactions impulsives. Ce diagnostic a d’ailleurs été posé par la Dresse F______ en fonction des critères dont elle avait constaté la présence. Quant aux objectifs poursuivis par le recourant, qui démontreraient une bonne organisation, le Dr M______ ne précise pas desquels il s’agit. Le recourant paraît au contraire mener une existence solitaire et confinée et se réfugier dans la musique. L’expert a en outre écarté le diagnostic de douleurs somatoformes, affirmant que les affections du recourant étaient somatiques. Cela étant, on s’étonne que le Dr M______ classifie la dysphagie – que les nombreux examens n’ont pas réussi à expliquer, mais qui a pourtant entraîné une perte pondérale – comme une simple manifestation du trouble anxieux. Il affirme d’ailleurs que cette atteinte aurait disparu en 2010, alors que le recourant en souffrait encore en 2012 et 2013 selon les attestations de son médecin traitant. Il écarte également les douleurs abdominales et dorsales, affirmant qu’elles sont causées par des atteintes physiques, alors qu’il n’existe pas d’élément au dossier démontrant que la hernie et la prostatite expliquent l’ampleur des douleurs alléguées. Le Dr L______ ne semble d’ailleurs pas partager l’opinion de l’expert sur la nature somatique des douleurs dont se plaint le recourant, puisqu’il a qualifié ces troubles de psychosomatiques dans son avis du 5 décembre 2014. Le médecin du SMR a d’ailleurs considéré dans son avis du 7 novembre 2013 qu’il était nécessaire que le Dr M______ explique pourquoi il s’écartait de l’appréciation du Dr D______, ce qui pourrait indiquer qu’il estime que l’expertise n’est pas suffisamment convaincante. Dans ses explications complémentaires du 22 mai 2014, le Dr M______ a contesté le diagnostic de personnalité émotionnellement</w:t>
      </w:r>
    </w:p>
    <w:p>
      <w:r>
        <w:t>A/344/2015 - 29/30 - labile type borderline posé par le Dr D______, au motif notamment que ce dernier énumérait quatre caractéristiques à l’appui de son diagnostic, lesquelles étaient toutefois communes à l’ensemble des troubles de la personnalité. On ne voit cependant pas en quoi le fait que certains critères diagnostiques soient communs à plusieurs atteintes exclut que le diagnostic d’une de ces atteintes soit posé. En outre, l’expert ne conteste pas formellement la présence des caractéristiques rapportées par le Dr D______. Le psychiatre traitant a du reste remis en question les diagnostics posés par l’expert de façon pertinente dans ses observations du 9 septembre 2013, que le « complément d’expertise » de mai 2014 ne parvient pas à infirmer de manière convaincante. En conséquence de ce qui précède, le rapport du Dr M______ ne saurait se voir reconnaître pleine valeur probante.</w:t>
      </w:r>
    </w:p>
    <w:p>
      <w:r>
        <w:rPr>
          <w:b/>
        </w:rPr>
        <w:t>E. 11</w:t>
      </w:r>
    </w:p>
    <w:p>
      <w:r>
        <w:t>Eu égard à ce qui précède, la décision de l’intimé n’est pas conforme au droit et doit être annulée. Le recourant, qui obtient gain de cause, a droit à des dépens qu’il convient en l’espèce de fixer à CHF 3'500.- (art. 61 let. g LPGA). La procédure en assurance-invalidité n’étant pas gratuite, l’intimé, qui succombe, supporte l’émolument de CHF 1'000.- (art. 69 al. 1bis LAI).</w:t>
      </w:r>
    </w:p>
    <w:p>
      <w:r>
        <w:t>A/344/2015 - 30/30 -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