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ATAS/493/2014 vom 9. April 2014</w:t>
      </w:r>
    </w:p>
    <w:p>
      <w:r>
        <w:t>GE Cour de justice, 2014-04-09, FR</w:t>
      </w:r>
    </w:p>
    <w:p>
      <w:r>
        <w:rPr>
          <w:b/>
        </w:rPr>
        <w:t xml:space="preserve">Quelle: </w:t>
      </w:r>
      <w:r>
        <w:t>https://mcp.opencaselaw.ch/entscheid/ge_gerichte_ATAS_493_2014</w:t>
      </w:r>
    </w:p>
    <w:p>
      <w:r>
        <w:t>FR: GE_GERICHTE ATAS/493/2014 du 9 avril 2014</w:t>
      </w:r>
    </w:p>
    <w:p>
      <w:r>
        <w:t>IT: GE_GERICHTE ATAS/493/2014 del 9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présent recours est recevable (art. 56 à 61 LPGA).</w:t>
      </w:r>
    </w:p>
    <w:p>
      <w:r>
        <w:rPr>
          <w:b/>
        </w:rPr>
        <w:t>E. 3</w:t>
      </w:r>
    </w:p>
    <w:p>
      <w:r>
        <w:t>Le litige porte sur le droit de la recourante à de nouvelles mesures d’ordre professionnel, en particulier sur son droit à une mesure d’orientation professionnelle et à une mesure de reclassement supplémentaire, ainsi que sur son droit à une rente au-delà d’octobre 2011.</w:t>
      </w:r>
    </w:p>
    <w:p>
      <w:r>
        <w:rPr>
          <w:b/>
        </w:rPr>
        <w:t>E. 4</w:t>
      </w:r>
    </w:p>
    <w:p>
      <w:r>
        <w:t>Selon la jurisprudence, une décision par laquelle l’assurance-invalidité accorde une rente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w:t>
      </w:r>
    </w:p>
    <w:p>
      <w:r>
        <w:t>A/3764/2013 - 12/24 - 130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A/3764/2013 - 13/24 -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A/3764/2013 - 14/24 - médecins traitants font état d'éléments objectivement vérifiables ayant été ignorés dans le cadre de l'expertise et qui sont suffisamment pertinents pour remettre en cause les conclusions de l'expert (ATF non publié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A/3764/2013 - 15/24 -</w:t>
      </w:r>
    </w:p>
    <w:p>
      <w:r>
        <w:rPr>
          <w:b/>
        </w:rPr>
        <w:t>E. 8</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9</w:t>
      </w:r>
    </w:p>
    <w:p>
      <w:r>
        <w:t>a) En l’espèce, la décision attaquée est fondée en substance sur l’expertise rhumatologique réalisée par le Dr N_________. Elle se base sur une anamnèse familiale, médicale et socioprofessionnelle détaillée de la recourante, sur l’étude de son dossier médical, et en particulier sur son dossier radiologique, ainsi que sur un examen clinique et sur les plaintes de la recourante. L’expert a également exposé clairement les diagnostics et ses constatations objectives et les conclusions sont suffisamment motivées. En effet, il a retenu des cervico-omalgies droites chroniques, ayant une incidence sur la capacité de travail, un status après une acromioplastie de l’épaule droite le 13 avril 2007 et une insuffisance veineuse chronique des membres inférieurs. Les limitations fonctionnelles retenues – travaux lourds, ports de charges au-delà de 2 à 3 kg de manière répétitive avec le membre supérieur droit, travail sur un ordinateur plus d’une heure en continu, positions statiques – étaient toutes en lien avec les diagnostics précités. On comprend également que dans la mesure où l’examen clinique était relativement rassurant – pas d’altération de la mobilité du squelette axial, ni arthrite ni synovite, discrète altération de la mobilité de l’épaule droite, pas de syndrome irritatif des membres, des réflexes ostéotendineux vifs et symétriques et pas d’altération de la force – il a estimé que les plaintes douloureuses étaient disproportionnées par rapport aux constatations objectives et que la capacité de travail était de 90% dans une activité adaptée aux limitations fonctionnelles au jour de l’expertise. La capacité de travail tenait compte de la diminution de rendement qui était liée à la diminution de vitesse d’exécution de certaines tâches impliquant l’épaule droite et à la prise éventuelle de pauses supplémentaires. En outre, il a également conclu que la recourante présentait notamment une capacité de travail dans l’activité habituelle de 50% dès le 8 janvier 2007, de 0% dès le 13 avril 2007, de 50% dès le 1er juillet 2008 et de 70% depuis octobre 2008, et une capacité de travail de 90% dans une activité adaptée du 17 octobre 2008 au jour de l’expertise. Ces différentes périodes d’incapacité de travail antérieures au jour de l’expertise ont été déterminées en se fondant sur les rapports des médecins ayant suivi la recourante, et en particulier sur le rapport du 28 mai 2008 de la Dresse L__________ et sur ceux du Prof. M_________ des 12 août et 17 octobre 2008 et 28 novembre 2011. Compte tenu de ce qui précède, il y a lieu de considérer que ce rapport satisfait tous les critères dégagés par la jurisprudence et doit donc se voir reconnaître une pleine valeur probante.</w:t>
      </w:r>
    </w:p>
    <w:p>
      <w:r>
        <w:t>A/3764/2013 - 16/24 - Ce rapport d’expertise est tout d’abord confirmé par les déclarations du Prof. M_________, lequel a estimé, en octobre 2008, que la recourante pouvait reprendre une activité à plein temps en évitant les périodes prolongées de travail sur un ordinateur. En ce qui concerne les rapports de la Dresse L__________, lesquels mettent en exergue une capacité de travail de 50% dès juillet/août 2008 dans une activité nécessitant peu d’heures derrière un ordinateur, ils ont également été pris en considération par l’expert, comme précédemment exposé. Quant au Dr O_________, il a établi des rapports et avis sommaires et peu motivés, de sorte qu’on ne peut se fonder sur ceux-ci pour déterminer la capacité de travail de la recourante, étant précisé qu’il a retenu une entière capacité de travail dans une activité adaptée aux limitations fonctionnelles dès le 1er octobre 2011, ce qui rejoint dans une certaine mesure les conclusions de l’expertise. En outre, ses rapports ne mettent pas en exergue d’éléments dont l’expert n’aurait pas tenu compte et ne permettent dès lors pas de remettre en cause les conclusions de l’expertise. Il n’existe ainsi pas de motifs pour s’écarter des conclusions du Dr N_________. Pour le surplus, le rapport du Prof. M_________ du 4 février 2014 produit par la recourante en cours de procédure ne saurait faire douter la chambre de céans des conclusions du rapport d’expertise, attendu qu’il entre premièrement en contradiction avec ses propres déclarations antérieures, que ce médecin n’indique pas à partir de quelle date la capacité de travail serait devenue nulle et que son rapport n’est que très peu motivé. En particulier, le fait que l’état de laxité de la recourante n’ait pas été pris en considération par le Dr N_________ n’a pas d’incidence sur la valeur probante du rapport de celui-ci, dans la mesure où le Prof. M_________ n’explicite pas en quoi cet état aurait une répercussion sur la capacité de travail. Si l’état de santé s’est effectivement détérioré depuis la décision litigieuse, comme pourrait le laisser entendre ce rapport du Prof. M_________, il appartient à la recourante de déposer une nouvelle demande de prestations auprès de l’OAI, en invoquant une telle détérioration. b) La recourante soutient que l’expert avait évoqué des atteintes d’ordre psychique, de sorte qu’il convenait de mettre en œuvre une instruction complémentaire à cet égard. La chambre de céans considère que si l’expert a certes estimé que la disproportion entre les plaintes et ses constatations objectives pouvaient être en lien avec l’anxiété et le stress psychologique qui ont été retenus par la Dresse L__________, il ne ressort pas du dossier, comme l’a exposé la Dresse Q_________, qu’un éventuel trouble psychique limiterait effectivement la capacité de travail de la recourante. En outre, celle-ci n’invoque pas avoir un suivi psychiatrique ou prendre par exemple des médicaments en lien avec un trouble d’ordre psychique et n’a pas produit de rapport de psychiatre ou de psychologue. Dès lors, nul n’est besoin d’ordonner une instruction complémentaire sur cette question.</w:t>
      </w:r>
    </w:p>
    <w:p>
      <w:r>
        <w:t>A/3764/2013 - 17/24 - c) Qui plus est, la recourante estime que la capacité de travail de 90% a été retenue par l’expert en méconnaissance des activités dans lesquelles elle a été reclassées – essentiellement le marketing – et que cette capacité de travail entrait en contradiction avec le fait qu’elle avait dû arrêter son stage chez Y_________. On rappellera, à cet égard, qu'il revient au médecin de porter un jugement sur l’état de santé et d'indiquer dans quelle mesure et pour quelles activités l’assuré est, à ce motif, incapable de travailler. Il n’est en revanche pas de son ressort, mais de celui du conseiller en réadaptation, de déterminer les activités professionnelles concrètes entrant en considération compte tenu des aptitudes résiduelles ou de dire si les activités choisies par l’assuré sont concrètement réalisables. Par ailleurs, le fait que la recourante ait été en incapacité de travail de 50% dès le 25 mars 2011 et de 100% dès le 31 mai 2011, ce qui a d’ailleurs été pris en considération par l’expert (p. 11 de son rapport), car son stage avait nécessité un travail à 95% sur un ordinateur, n’entre pas en contradiction avec l’expertise. En effet, l’expert a retenu qu’il convenait d’éviter les travaux sur un clavier d’ordinateur plus d’une heure en continu. Les griefs de la recourante seront ainsi rejetés.</w:t>
      </w:r>
    </w:p>
    <w:p>
      <w:r>
        <w:t>d) Compte tenu des éléments qui précèdent, la chambre de céans estime que les conclusions du rapport d’expertise rhumatologique doivent être suivies et que la recourante présente, au degré de la vraisemblance prépondérante prévu par la jurisprudence, une capacité de travail de 50% dans toutes les activités lucratives dès le 8 janvier 2007 et de 0% dès le 13 avril 2007, puis de 50% dans l’activité habituelle dès le 1er juillet 2008 et de 90% dans une activité adaptée à ses limitations fonctionnelles dès le 17 octobre 2008.</w:t>
      </w:r>
    </w:p>
    <w:p>
      <w:r>
        <w:t>Pour le surplus, le rapport d’expertise au dossier présentant valeur probante au sens de la jurisprudence, il n’est pas nécessaire de mettre en œuvre une expertise pluridisciplinaire comme requis par la recourante.</w:t>
      </w:r>
    </w:p>
    <w:p>
      <w:r>
        <w:rPr>
          <w:b/>
        </w:rPr>
        <w:t>E. 10</w:t>
      </w:r>
    </w:p>
    <w:p>
      <w:r>
        <w:t>Il convient dès lors de se déterminer sur le degré d’invalidité de la recourante en fonction de ces différentes périodes d’incapacité de travail, étant précisé que celle- ci ne conteste pas les différents calculs effectués par l’intimé. a.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La rente est allouée dès le début du mois au cours duquel le droit à la rente a pris naissance (art. 29 al. 2 LAI).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w:t>
      </w:r>
    </w:p>
    <w:p>
      <w:r>
        <w:t>A/3764/2013 - 18/24 -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1er janvier 2008 (ATF non publié 9C_583/2010 du 22 septembre 2011, consid. 4.1). Dans cette hypothèse et lorsque la demande a été déposée avant le 1er juillet 2008 (cf. ATF 138 V 475 consid. 3; Lettre-circulaire n° 300 de l'OFAS du</w:t>
      </w:r>
    </w:p>
    <w:p>
      <w:r>
        <w:rPr>
          <w:b/>
        </w:rPr>
        <w:t>E. 15</w:t>
      </w:r>
    </w:p>
    <w:p>
      <w:r>
        <w:t>Le recours est dès lors partiellement admis et la décision de l’OAI réformée, en ce sens que la recourante a droit à une rente entière du 1er janvier au 30 septembre 2008 et à une demi-rente du 1er octobre 2008 au 31 janvier 2012.</w:t>
      </w:r>
    </w:p>
    <w:p>
      <w:r>
        <w:rPr>
          <w:b/>
        </w:rPr>
        <w:t>E. 16</w:t>
      </w:r>
    </w:p>
    <w:p>
      <w:r>
        <w:t>Une indemnité de CHF 1'000.- lui est accordée à titre de participation à ses frais et dépens (art. 61 let. g LPGA et 89 H al. 3 de la loi sur la procédure administrative, du 12 septembre 1985 – LPA ; RSG E 5 10). Etant donné que, depuis le 1er juillet 2006, la procédure n'est plus gratuite (art. 69 al. 1bis LAI et 89H al. 4 LPA) et au vu du sort du recours, il y a lieu de condamner l'intimé au paiement d'un émolument de 200 francs.</w:t>
      </w:r>
    </w:p>
    <w:p>
      <w:r>
        <w:t>A/3764/2013 - 24/24 -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