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ATAS/492/2025 vom 25. Juni 2025</w:t>
      </w:r>
    </w:p>
    <w:p>
      <w:r>
        <w:t>GE Cour de justice, 2025-06-25, FR</w:t>
      </w:r>
    </w:p>
    <w:p>
      <w:r>
        <w:rPr>
          <w:b/>
        </w:rPr>
        <w:t xml:space="preserve">Quelle: </w:t>
      </w:r>
      <w:r>
        <w:t>https://mcp.opencaselaw.ch/entscheid/ge_gerichte_ATAS_492_2025</w:t>
      </w:r>
    </w:p>
    <w:p>
      <w:r>
        <w:t>FR: GE_GERICHTE ATAS/492/2025 du 25 juin 2025</w:t>
      </w:r>
    </w:p>
    <w:p>
      <w:r>
        <w:t>IT: GE_GERICHTE ATAS/492/2025 del 25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w:t>
      </w:r>
    </w:p>
    <w:p>
      <w:r>
        <w:t>A/2888/2024 - 6/11 -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Est litigieux le droit de la recourante à l'assistance juridique dans le cadre de la procédure d'audition faisant suite au projet de refus de prestations du 5 avril 2024, plus particulièrement la question de savoir si la complexité de la cause justifiait l'assistance d'un avocat.</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l'tat. La dispense concerne également les frais inhérents à l'administration des preuves, comme les indemnités de témoins, d'interprètes ou les expertises (Andreas AUER / Giorgio MALINVERNI / Michel HOTTELIER, Droit constitutionnel suisse, vol. II, 3me éd., 2013, n. 1619).</w:t>
      </w:r>
    </w:p>
    <w:p>
      <w:r>
        <w:rPr>
          <w:b/>
        </w:rPr>
        <w:t>E. 3.2</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w:t>
      </w:r>
    </w:p>
    <w:p>
      <w:r>
        <w:rPr>
          <w:b/>
        </w:rPr>
        <w:t>E. 3.3</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w:t>
      </w:r>
    </w:p>
    <w:p>
      <w:r>
        <w:t>A/2888/2024 - 7/11 -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3.4</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w:t>
      </w:r>
    </w:p>
    <w:p>
      <w:r>
        <w:t>A/2888/2024 - 8/11 -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Á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w:t>
      </w:r>
    </w:p>
    <w:p>
      <w:r>
        <w:rPr>
          <w:b/>
        </w:rPr>
        <w:t>E. 3.5</w:t>
      </w:r>
    </w:p>
    <w:p>
      <w:r>
        <w:t>Un litige sur le droit éventuel à une rente d'invalidité n'est pas susceptible d'affecter de manière particulièrement grave la situation juridique de l'intéressé ; en revanche, il a une portée considérable (arrêts du Tribunal fédéral I 127/07 du</w:t>
      </w:r>
    </w:p>
    <w:p>
      <w:r>
        <w:rPr>
          <w:b/>
        </w:rPr>
        <w:t>E. 7</w:t>
      </w:r>
    </w:p>
    <w:p>
      <w:r>
        <w:t>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 4. En l'espèce, la recourante sollicite l'assistance juridique gratuite dans le cadre de la procédure d'audition suite au projet de décision de l'intimé lui niant le droit à des prestations. Elle est d’avis que la complexité de sa cause justifiait l’assistance d’un avocat, ce que l’intimé conteste. Il y a lieu de relever que la recourante ne dispose pas d'un niveau de formation suffisant pour contester seule le projet de décision de refus de prestations. Cet élément permet certes d'admettre que l’intéressée n'était pas à même de défendre seule ses propres intérêts dans la procédure d'audition et qu'une assistance était</w:t>
      </w:r>
    </w:p>
    <w:p>
      <w:r>
        <w:t>A/2888/2024 - 9/11 - donc justifiée. Il ne suffit toutefois pas pour retenir que l'assistance d'un avocat était nécessaire. Par ailleurs, contrairement à ce qu’avance la recourante, au vu de la jurisprudence susmentionnée, la nature du litige concernant le droit éventuel à une rente d'invalidité ne permet pas d'admettre que sa situation juridique était susceptible d'être touchée gravement, de sorte que l'assistance juridique n'apparaît pas d'emblée comme nécessaire. Dès lors, il convient d'examiner si, concrètement, le cas de la recourante posait des difficultés telles d'un point de vue objectif que le recours à un avocat se justifiait. On rappellera tout d’abord que la recourante a sollicité l’assistance d’un avocat pour déposer des observations suite au projet de décision de l’intimé qui entendait lui nier le droit à des prestations (rente et mesures de réadaptation) dans le cadre d’une seconde demande de prestations. Dans sa décision initiale du 17 novembre 2008, entrée en force, l’intimé avait nié le droit de la recourante à des prestations. Si les séquelles somatiques dues à l’accident (symptomatologie douloureuse de la cuisse droite et du trochanter droit) entraînaient certes une incapacité de travail totale dans son activité habituelle, la recourante avait toutefois une capacité de travail totale dans une activité adaptée à ses limitations fonctionnelles (activité légère en position assise). Dans le cadre de l’instruction de la deuxième demande de prestations, l’intimé a mis en œuvre une expertise rhumatologique (rapport du 20 mars 2024 de la Dre F______) à la suite de laquelle il a admis l'existence, postérieurement à sa décision de refus de prestations du 17 novembre 2008, d’une aggravation de l’état de santé de la recourante, à savoir des lombalgies sur troubles dégénératifs entraînant de nouvelles limitations fonctionnelles et une incapacité de travail totale temporaire dans toute activité du 1er janvier au 30 juillet 2022. Il résultait de la comparaison des salaires avec et sans invalidité, l’absence de perte de gain de sorte que le droit de la recourante à des prestations devait être nié (projet de décision du 5 avril 2024). Le litige portait donc, d’une part, sur la détermination de la capacité de travail de la recourante dans une activité adaptée, uniquement sur le plan somatique, et au regard d’une seule expertise et d’un seul rapport établi par la Dre D______ en date du 28 avril 2023, unique médecin traitant à s’être prononcé sur la capacité de travail de l’intéressée, et d’autre part, sur le calcul de son degré d’invalidité, la recourante ayant un statut d’actif. Par conséquent, contrairement à ce qu’avance la recourante, la cause ne revêtait manifestement pas un degré particulier de complexité. On ajoutera que le fait que l'intimé ait, dans un premier temps, entendu nier le droit à une rente d’invalidité, puis, suite aux observations formulées par la recourante dans le cadre de son audition, considéré que l’intéressée avait droit à une rente entière limitée dans le temps, ne saurait attester l’existence d’une</w:t>
      </w:r>
    </w:p>
    <w:p>
      <w:r>
        <w:t>A/2888/2024 - 10/11 - complexité particulière de la cause, puisque l’erreur de dates relevée par son conseil ne nécessitait pas de connaissances juridiques approfondies et aurait pu être constatée par un assistant social. Par ailleurs, quand bien même le dossier de l’intimé était certes volumineux, on relèvera que la majorité des pièces concernait la procédure en matière d’assurance-accidents, lesquelles n’avaient pas à être examinées dans le cadre de la nouvelle demande de prestations déposée auprès de l’intimé. En outre, s’agissant des pièces relevant de la première demande de prestations, seul l’avis du SMR du 11 juin 2007 et la décision de l’intimé du 17 novembre 2008 étaient pertinents. Au demeurant, si la recourante souhaitait tout de même obtenir une aide juridique, elle aurait pu contacter le Centre social protestant, ou Caritas, qui disposent de juristes. À cet égard, on rappellera que le fait qu'un assuré puisse bénéficier de l'assistance de représentants d'association, d'assistants sociaux ou encore de spécialistes permet d'inférer que l'assistance d'un avocat n'est ni nécessaire, ni indiquée (arrêt du Tribunal fédéral 9C_786/2017 du 21 février 2018 consid. 4.2). Ainsi, dans la mesure où l'assistance d'un avocat doit demeurer l'exception et au vu de l'absence de circonstances exceptionnelles rendant objectivement nécessaire l'assistance d'un avocat durant la procédure d’audition suite au projet de décision de l’intimé, celle d'un assistant social ou d'autres professionnels ou personnes de confiance d'institutions sociales aurait été suffisante. Eu égard à ces considérations, la condition de la nécessité d'une assistance par un avocat n'est donc pas réalisée, de sorte qu'il est inutile de vérifier si les autres conditions - cumulatives - sont remplies. 5. Le recours est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w:t>
      </w:r>
    </w:p>
    <w:p>
      <w:r>
        <w:t>A/2888/2024 - 11/11 -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