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ATAS/492/2024 vom 20. Juni 2024</w:t>
      </w:r>
    </w:p>
    <w:p>
      <w:r>
        <w:t>GE Cour de justice, 2024-06-20, FR</w:t>
      </w:r>
    </w:p>
    <w:p>
      <w:r>
        <w:rPr>
          <w:b/>
        </w:rPr>
        <w:t xml:space="preserve">Quelle: </w:t>
      </w:r>
      <w:r>
        <w:t>https://mcp.opencaselaw.ch/entscheid/ge_gerichte_ATAS_492_2024</w:t>
      </w:r>
    </w:p>
    <w:p>
      <w:r>
        <w:t>FR: GE_GERICHTE ATAS/492/2024 du 20 juin 2024</w:t>
      </w:r>
    </w:p>
    <w:p>
      <w:r>
        <w:t>IT: GE_GERICHTE ATAS/492/2024 del 20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la question du bien-fondé du refus de l’intimé de reconnaître à l’assuré le droit à une rente extraordinaire de l’assurance-invalidité, étant rappelé qu’à ce stade, il n’est pas contesté que les conditions d’octroi d’une rente ordinaire ne sont pas remplies et que la survenance de l’invalidité remonte au 1er juillet 2006.</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survenance de l’invalidité étant antérieure au 31 décembre 2021, l’ancien droit reste applicable</w:t>
      </w:r>
    </w:p>
    <w:p>
      <w:r>
        <w:rPr>
          <w:b/>
        </w:rPr>
        <w:t>E. 3.2</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w:t>
      </w:r>
    </w:p>
    <w:p>
      <w:r>
        <w:t>A/2073/2023 - 5/9 -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3.3</w:t>
      </w:r>
    </w:p>
    <w:p>
      <w:r>
        <w:t>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op. cit., n. 36 ad art. 6). Pour l’octroi d’une rente (ordinaire ou extraordinaire) d’invalidité, l’art. 28 LAI exige, pour qu’il y ait invalidité (autrement dit qu’une invalidité survienne),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au moins, la rente d’invalidité alors allouée étant un quart de rente, une demi-rente, un trois-quarts de rente ou une rente entière selon que le taux d’invalidité est, respectivement, de 40 à 49%, de 50 à 59%, de 60 à 69% ou de 70% ou plus (art. 28 al. 2 LAI). Le cas d’assurance ne peut toutefois survenir au plus tôt que le premier jour du mois qui suit le 18ème anniversaire (RCC 1984 p. 463).</w:t>
      </w:r>
    </w:p>
    <w:p>
      <w:r>
        <w:rPr>
          <w:b/>
        </w:rPr>
        <w:t>E. 3.4</w:t>
      </w:r>
    </w:p>
    <w:p>
      <w:r>
        <w:t>Le droit à une rente extraordinaire n’est en principe pas ouvert aux ressortissants étrangers de pays avec lesquels la Suisse n’a pas conclu de convention de sécurité sociale. Selon l’art. 39 al. 1 LAI (que réserve l’art. 6 al. 1 phr. 2 LAI), le droit aux rentes extraordinaires de l’assurance-invalidité est déterminé conformément aux dispositions de la loi fédérale sur l’assurance- vieillesse et survivants du 20 décembre 1946 (LAVS - RS 831.10).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w:t>
      </w:r>
    </w:p>
    <w:p>
      <w:r>
        <w:t>A/2073/2023 - 6/9 - Selon l’art. 39 al. 3 LAI, ont aussi droit à une rente extraordinaire les invalides étrangers et apatrides qui remplissent comme enfants les conditions fixées à l’art. 9 al. 3 LAI. Aux termes de cet article, les ressortissants étrangers âgés de moins de 20 ans qui ont leur domicile et leur résidence habituelle en Suisse au sens de l’art. 13 LPGA ont droit aux mesures de réadaptation, s’ils remplissent eux-mêmes les conditions prévues à l’art. 6 al. 2 LAI (qui porte sur les conditions d’octroi d’une rente ordinaire, dont il n’est pas contesté qu’elles ne sont pas remplies en l’occurrence)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Comme le résument les Directives concernant les rentes de l’assurance vieillesse, survivants et invalidité fédérale édictées par l’office fédéral des assurances sociales (ci-après : DR), sont mises au bénéfice de la rente extraordinaire d’invalidité les personnes invalides de naissance ou dès leur enfance qui sont domiciliées en Suisse ; il s’agit des personnes invalides depuis leur naissance ou qui sont devenues invalides selon un taux justifiant l’octroi d’une rente avant le 1er décembre de l’année suivant celle au cours de laquelle elles ont atteint 22 ans révolus, mais qui n’ont pas acquis le droit à une rente ordinaire (ch. 7006 DR). Pour pouvoir prétendre une rente extraordinaire d’invalidité, le ressortissant étranger invalide de naissance ou dès son enfance ne doit pas avoir forcément séjourné en Suisse depuis sa naissance. Les conditions d’octroi sont réalisées lorsque la personne concernée est entrée en Suisse avant le 1er janvier suivant l’accomplissement de ses 20 ans révolus. Toutefois, la rente extraordinaire AI ne peut être versée qu’une fois échu le délai de carence requis (ch. 7007 DR). Ont également droit à une rente extraordinaire d’invalidité les étrangers invalides qui, dans leur enfance, remplissaient les conditions d’octroi de mesures de réadaptation et qui pourraient ou auraient pu bénéficier de telles mesures de l’AI au plus tard jusqu’à leur 20ème anniversaire (ch. 7011 DR; ATF 140 V 246). Les personnes étrangères invalides de naissance ou depuis leur enfance peuvent ainsi prétendre à une rente extraordinaire d’invalidité au plus tôt dès le mois qui suit leur 18e anniversaire si elles ont bénéficié ou auraient pu bénéficier jusque-là de mesures de réadaptation du fait qu’elles remplissaient les conditions de l’art. 9 al. 3 LAI (ch. 7012 DR). En revanche, ces personnes n’ont pas droit à une rente extraordinaire de l’AI lorsque, avant leur 20ème anniversaire, elles ne pouvaient prétendre à des</w:t>
      </w:r>
    </w:p>
    <w:p>
      <w:r>
        <w:t>A/2073/2023 - 7/9 - prestations en nature, soit parce qu’elles n’étaient pas invalides au sens de la loi, soit parce qu’elles ne remplissaient pas les conditions d’assurance (ch. 7013 DR).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(ATF 9C_156/2010 du 20 avril 2011 consid. 4.2.3).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(cf. arrêt 9C_756/2013 du 6 juin 2014 consid. 7.3.1).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18ème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œuvre des mesures de réadaptation professionnelles (arrêt 9C_756/2013 op. cit. consid. 7.3.1). Selon le Tribunal fédéral, il y a lieu d'admettre que les termes « comme enfant » de cette disposition signifient « avant l'âge de 20 ans révolus » (arrêt 9C_756/2013 op. cit. consid. 7.3.2).</w:t>
      </w:r>
    </w:p>
    <w:p>
      <w:r>
        <w:rPr>
          <w:b/>
        </w:rPr>
        <w:t>E. 4</w:t>
      </w:r>
    </w:p>
    <w:p>
      <w:r>
        <w:t>En l’espèce, il n’est pas contesté que la survenance de l’invalidité remonte au 1er juillet 2006, premier jour du mois suivant le 18ème anniversaire du recourant. Il n’est pas contesté non plus que l'assuré ne peut prétendre une rente ordinaire d'invalidité, puisqu’il ne remplit pas les conditions relatives à la durée minimale de cotisation. Reste à déterminer si une rente extraordinaire peut entrer en considération (art. 42 al. 1 LAVS cum 39 LAI). Le recourant a été domicilié en Suisse d’août 2004 à février 2011. Qui plus est, sa mère y a travaillé – et donc cotisé – du 27 janvier 2005 au 30 juin 2006. Dès lors, les conditions énoncées aux lettres a et b de l’art. 9 al. 3 LAI sont remplies.</w:t>
      </w:r>
    </w:p>
    <w:p>
      <w:r>
        <w:t>A/2073/2023 - 8/9 - Cela étant, encore faut-il, selon la jurisprudence rappelée supra, que le recourant, « comme enfant », c'est-à-dire avant l’âge de 20 ans révolus, a eu droit ou aurait concrètement pu avoir droit à des mesures de réadaptation. Pour ce qui est de la survenance de l'invalidité pour les mesures de réadaptation d'ordre professionnel, l'art. 10 al. 2 LAI prévoit que le droit aux autres mesures de réadaptation et aux mesures de nouvelle réadaptation au sens de l'art. 8a prend naissance dès qu'elles sont indiquées en raison de l'âge et de l'état de santé de l'assuré. Selon la jurisprudence, est déterminant le moment à partir duquel l'invalidité, compte tenu de sa nature et de sa gravité, nécessite la mesure de réadaptation et la rend possible.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(ATF 112 V 275 consid. 2c p. 278). Aussi longtemps que la mise en œuvre de la mesure d'ordre professionnel est exclue en raison de l'état de santé de l'assuré, l'invalidité n'est pas (encore) survenue pour la mesure en cause (arrêt 9C_756/2013 op. cit. consid. 6.2). En l’occurrence, l’intimé considère que c’est avant tout le retard mental de l’assuré, qualifié de léger, à la limite de moyen, qui justifie à lui seul une totale incapacité de travail. Or, ce retard, s’il n’a été identifié que lors du bilan cognitif et psychologique réalisé le 12 août 2022, est selon toute vraisemblance présent depuis toujours. L’intimé le reconnaît d’ailleurs implicitement dans sa décision, puisqu’il constate que l’assuré, en raison de son état de santé, n’a jamais pu acquérir de connaissances professionnelles. La survenance de l’invalidité, s’agissant des mesures de réadaptation, remonte donc à l’enfance du recourant. Cela étant, l’octroi de mesures de réadaptation est soumis à la condition que celles-ci soient non seulement nécessaires, mais aussi de nature à rétablir, maintenir ou améliorer la capacité de gain ou la capacité de l’assuré à accomplir les travaux habituels (art. 8 al. 1 let. a LAI). En l’occurrence, l’intimé argue que les conditions d’octroi d’une rente extraordinaire ne sont pas remplies, car, au vu du parcours scolaire et du suivi médical du recourant, celui-ci n’aurait pu bénéficier de mesures de réadaptation avant ses 20 ans. Il est vrai que, compte tenu du handicap de l’assuré, on ne conçoit guère que l’octroi de mesures médicales, de conseils, de mesures de réinsertion, de mesures d’ordre professionnel ou encore l’octroi de moyens auxiliaires aurait pu améliorer sa capacité de gain. Il ressort de ce qui précède que c’est à juste titre que l’intimé lui a nié le droit à une rente extraordinaire, les conditions d’octroi d’une telle rente n’étant pas remplies. Le recours est donc rejeté.</w:t>
      </w:r>
    </w:p>
    <w:p>
      <w:r>
        <w:t>A/2073/2023 - 9/9 -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