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ATAS/491/2020 vom 17. Juni 2020</w:t>
      </w:r>
    </w:p>
    <w:p>
      <w:r>
        <w:t>GE Cour de justice, 2020-06-17, FR</w:t>
      </w:r>
    </w:p>
    <w:p>
      <w:r>
        <w:rPr>
          <w:b/>
        </w:rPr>
        <w:t xml:space="preserve">Quelle: </w:t>
      </w:r>
      <w:r>
        <w:t>https://mcp.opencaselaw.ch/entscheid/ge_gerichte_ATAS_491_2020</w:t>
      </w:r>
    </w:p>
    <w:p>
      <w:r>
        <w:t>FR: GE_GERICHTE ATAS/491/2020 du 17 juin 2020</w:t>
      </w:r>
    </w:p>
    <w:p>
      <w:r>
        <w:t>IT: GE_GERICHTE ATAS/491/2020 del 17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3</w:t>
      </w:r>
    </w:p>
    <w:p>
      <w:r>
        <w:t>Le litige porte sur le bien-fondé de la décision de refus de prestations de l’intimé.</w:t>
      </w:r>
    </w:p>
    <w:p>
      <w:r>
        <w:rPr>
          <w:b/>
        </w:rPr>
        <w:t>E. 4</w:t>
      </w:r>
    </w:p>
    <w:p>
      <w:r>
        <w:t>a. En l’espèce, l’intimé a déjà rendu, le 10 mai 2016, une décision de refus de prestations, qui n’a pas été contestée par la recourante et qui est entrée en force. Cette décision retenait que celle-ci avait un statut de ménagère et 0% d’empêchement. Il convient d’examiner en premier lieu dans quelle mesure cette décision peut être revue dans le cadre de la nouvelle demande de la recourante et du présent recours. b.a.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A/442/2019 - 12/19 - b.b.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Selon l’art. 17 al. 2 LPGA, toute prestation durable accordée en vertu d’une décision entrée en force est, d’office ou sur demande, augmentée ou réduite en conséquence, ou encore supprimée si les circonstances dont dépendait son octroi changent notablement. b.c.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w:t>
      </w:r>
    </w:p>
    <w:p>
      <w:r>
        <w:t>A/442/2019 - 13/19 - Par le biais de la reconsidération, on corrigera une application initiale erronée du droit, de même qu’une constatation erronée résultant de l’appréciation des faits. La reconsidération est une faculté et non une obligation. Le refus d'entrer en matière sur le demande de reconsidération d'une décision entrée en force n'est pas attaquable (ATF 117 V 8).</w:t>
      </w:r>
    </w:p>
    <w:p>
      <w:r>
        <w:rPr>
          <w:b/>
        </w:rPr>
        <w:t>E. 5</w:t>
      </w:r>
    </w:p>
    <w:p>
      <w:r>
        <w:t>a. En l’espèce, la recourante conteste le statut retenu par l’intimé dans la décision querellée. 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Dans un arrêt 9C_36/2013 du 21 juin 2013, le Tribunal fédéral a relevé que l'absence d'exercice d'une activité lucrative avant la survenance de l'atteinte à la santé n'induisait pas nécessairement l'application de la méthode spécifique d'évaluation de l'invalidité à la personne assurée concernée. En effet, les travaux habituels qui peuvent être assimilés à l'exercice d'une activité lucrative et que l'on peut dès lors prendre en compte, par le biais de la méthode spécifique, pour l'évaluation de l'invalidité sont les travaux du ménage (y compris l'éducation des enfants), le fait de suivre une formation, toute activité artistique ou d'utilité publique ou encore les travaux auxquels se consacrent les communautés religieuses (art. 27 RAI; cf. Message du Conseil fédéral concernant la 4e révision de la loi fédérale sur l'assurance-invalidité, FF 2001 IV 3110). Dans le cas d'espèce, l'assuré ne s'inscrivait pas dans l'une des catégories décrites ci-dessus. L'office recourant n'évoquait d'ailleurs aucun argument qui permettrait d'admettre que l'intimé avait décidé, depuis qu'il avait cessé de travailler, de consacrer son temps à l'accomplissement de travaux habituels. Au contraire, l'intimé avait affirmé à</w:t>
      </w:r>
    </w:p>
    <w:p>
      <w:r>
        <w:t>A/442/2019 - 14/19 - l'enquêtrice de l'office recourant qu'il n'avait pas l'habitude de participer aux tâches ménagères, lui et son épouse étant partisans d'un modèle familial dit traditionnel. Il résultait de ce qui précède que la méthode spécifique d'évaluation de l'invalidité n'entrait pas en ligne de compte dans le cas d'espèce. Selon la Haute Cour, la méthode générale de comparaison des revenus n'était pas non plus applicable au cas d'espèce. Dans un arrêt récent, le Tribunal fédéral a retenu, s'agissant d'un assuré qui travaillait à temps partiel, que dans la mesure où il était établi qu'il n'effectuait pas des travaux habituels tant avant qu'après son atteinte à la santé, son taux d'invalidité devait être évalué selon la méthode générale de comparaison des revenus. La jurisprudence rendue dans l'arrêt 9C_36/2013 du 21 juin 2013 précitée ne s'appliquait pas au cas d'espèce, qui n'était pas comparable. L'arrêt 9C_36/2013 se rapportait en effet à un cas particulier, dans lequel l'assuré, depuis qu'il avait cessé de travailler, n'avait entrepris aucune démarche pour exercer une activité professionnelle durable ou, à tout le moins pour se réinsérer dans le monde du travail. c. Dans le cas d’espèce, dans la mesure où la recourante n’a pas fait valoir de faits nouveaux qui pourraient justifier un nouvel examen de son statut – qui a déjà fait l’objet d’une décision entrée en force – les conditions d’une révision, au sens des art. 17 al. 2 et 53 al. 1 LPGA ne sont pas remplies. L’intimé n’a pas procédé à une reconsidération du statut de la recourante, en application de l’art. 53 al. 2 LPGA, dans sa décision du 17 décembre 2018, puisqu’il a confirmé dans celle-ci le statut de personne non active. La chambre de céans ne peut se prononcer sur le bien-fondé de cette décision sur ce point, dès lors que la reconsidération est une faculté de l’intimé et non une obligation.</w:t>
      </w:r>
    </w:p>
    <w:p>
      <w:r>
        <w:rPr>
          <w:b/>
        </w:rPr>
        <w:t>E. 6</w:t>
      </w:r>
    </w:p>
    <w:p>
      <w:r>
        <w:t>a. La recourante a fait valoir dans sa nouvelle demande de prestations une aggravation de son état de santé ayant une incidence sur son taux d’invalidité. b.a. Selon l’art. 27 al. 1 RAI, dans sa teneur dès le 1er janvier 2018, par travaux habituels, visés à l’art. 7 al. 2 de la loi, des assurés travaillant dans le ménage, il faut entendre l’activité usuelle dans le ménage, ainsi que les soins et l’assistance apportés aux proches. Selon le ch. 3087 de la circulaire sur l'invalidité et l'impotence dans l'assurance- invalidité (valable à partir du 1er janvier 2015, état au 1er janvier 2018), en règle générale, on admettra que les travaux d’une personne non invalide qui s’occupe du ménage comportent les activités usuelles suivantes:</w:t>
      </w:r>
    </w:p>
    <w:p>
      <w:r>
        <w:t>Activités Maximum % 1. Alimentation (préparer et cuire les aliments, servir les repas, nettoyer la cuisine au quotidien, faire des 50</w:t>
      </w:r>
    </w:p>
    <w:p>
      <w:r>
        <w:t>A/442/2019 - 15/19 - provisions) 2. Entretien du logement ou de la maison (ranger, épousseter, passer l’aspirateur, entretenir les sols, nettoyer les installations sanitaires, changer les draps de lit, nettoyer en profondeur, soigner les plantes, le jardin, l’extérieur de la maison, sortir les déchets) et garde des animaux domestiques 40 3. Achats (courses quotidiennes et achats plus importants) et courses diverses (poste, assurances, services officiels)</w:t>
      </w:r>
    </w:p>
    <w:p>
      <w:r>
        <w:rPr>
          <w:b/>
        </w:rPr>
        <w:t>E. 10</w:t>
      </w:r>
    </w:p>
    <w:p>
      <w:r>
        <w:t>4. Lessive et entretien des vêtements (laver, étendre et plier le linge, repasser, raccommoder, nettoyer les chaussures) 20 5. Soins et assistance aux enfants et aux proches 50 Selon le ch. 3088 CIIAI, la répartition des travaux donnée au ch. 3087 et la fixation d’un maximum pour les différents travaux sont applicables en règle générale. Toutes les activités doivent être prises en considération (excepté celles du ch. 5). Une pondération différente ne peut être faite qu’en cas de divergences importantes par rapport au schéma (I 469/99; RCC 1986 p. 244). Le total des activités doit toujours se monter à 100% (Pratique VSI 1997 p. 298). b.b. Selon le ch. 3089 CIAII, les services rémunérés ou non (effectués par des membres de la famille, des voisins ou des aides extérieures, par ex.) auxquels l’assuré recourait pour son ménage avant d’être atteint dans sa santé ne peuvent pas entrer en considération dans l’évaluation des limitations après la survenance de l’atteinte à sa santé. Autrement dit, ces services ne doivent compter ni dans la liste des activités, ni dans la pondération des activités sans invalidité, ni dans l’évaluation des limitations. Exemple : Le mari de l’assurée s’occupait déjà entièrement, avant la survenance de l’atteinte à la santé de son épouse, des plantes, du jardin et des abords de la maison. Il n’est donc pas possible de faire valoir des limitations à ce sujet, au chapitre de l’entretien du logement et de la maison, après la survenance de l’atteinte à la santé. b.c.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w:t>
      </w:r>
    </w:p>
    <w:p>
      <w:r>
        <w:t>A/442/2019 - 16/19 -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La jurisprudence ne pose pas de limite au- 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1er avril 2014 consid. 2.3). b.d. Pour les assurés non actifs, l'invalidité est fixée selon la méthode spécifique. Dans ce cas, il faut calculer le degré d'invalidité d'après le handicap dont ceux-ci sont affectés dans les travaux ménagers par comparaison des activités (art. 27 RAI).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w:t>
      </w:r>
    </w:p>
    <w:p>
      <w:r>
        <w:t>A/442/2019 - 17/19 -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Selon le ch. 3081CIIAI, l’OAI détermine le taux d’invalidité en effectuant une enquête sur place. Il est possible d’y renoncer, mais cela doit être justifié brièvement dans le dossier. Selon le ch. 3082 CIAII, il s’agit de définir les activités que l’assuré effectuait avant la survenance de l’atteinte à la santé ou qu’il effectuerait sans cette atteinte à la santé (pour les assurés qui s’occupent du ménage, les activités sont prédéfinies, voir ch. 3087). c.a. En l’espèce, l’intimé n’a pas contesté que l’état de santé de la recourante s’était aggravé depuis la dernière décision entrée en force, mais a retenu que ses empêchements de faire les travaux ménagers étaient toujours nuls. La recourante a fait valoir que l’intimé n’aurait dû tenir compte que de la seule activité ménagère qu’elle faisait avant son atteinte à la santé pour établir ses empêchements. Dès lors qu’elle ne pouvait plus faire cette activité en raison de l’aggravation de son état de santé, son taux d’invalidité était de 100%. c.b. Il convient de relever en premier lieu que la recourante n’a pas recouru contre la première décision de l’intimé qui lui déniait le droit à une rente d’invalidité sur la base d’une enquête ménagère qui prenait en compte tous les champs d’activités prévu selon le ch. 3087 CIIAI et qui retenait que la seule activité ménagère de la recourante avant son atteinte à la santé était de faire les courses avec son mari et sa fille. Elle ne peut en conséquence contester ce mode de faire par le biais d’une nouvelle demande. De plus, dès lors que l’activité ménagère du statut de personne non active doit s’apparenter à une activité lucrative, elle ne saurait se limiter à la seule activité de faire les courses, qui plus est avec ses proches. En prenant en compte l’ensemble des activités ménagère précitées et l’aide exigible des proches de la recourante, ses empêchements sont toujours de 0%, de sorte que c’est à juste titre que l’intimé a retenu qu’elle n’avait pas droit à une rente. S’agissant de l’aide exigible des proches, la recourante a déclaré à la chambre de céans que sa plus jeune fille habitait encore chez elle au moment de la décision</w:t>
      </w:r>
    </w:p>
    <w:p>
      <w:r>
        <w:t>A/442/2019 - 18/19 - querellée, le 17 décembre 2018, puisqu’elle était partie le 16 décembre 2019. Il en résulte que celle-ci pouvait encore aider sa mère, avec son père, et qu’il n’y a pas eu de changement de circonstances notable s’agissant de l’aide exigible des proches justifiant une nouvelle enquête ménagère, Vu la situation particulière du cas d’espèce, à savoir que la recourante n’avait quasiment pas d’activité ménagère avant son atteinte à la santé, les données récoltées lors de la première enquête et les motifs invoqués dans la demande et l’opposition de la recourante, il n’était pas nécessaire que l’intimé procède à une nouvelle enquête ménagère, ce qui ressort de la note de travail du 23 octobre 2018. L’intimé a ainsi agi conformément à jurisprudence et aux directives applicables (ch. 3081 CIIAI). 7. Infondé, le recours doit être rejeté. 8. Un émolument de CHF 200.- sera mis à la charge de la recourante (art. 69 al. 1bis LAI).</w:t>
      </w:r>
    </w:p>
    <w:p>
      <w:r>
        <w:t>A/442/2019 - 19/19 -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