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ATAS/491/2015 vom 29. Juni 2015</w:t>
      </w:r>
    </w:p>
    <w:p>
      <w:r>
        <w:t>GE Cour de justice, 2015-06-29, FR</w:t>
      </w:r>
    </w:p>
    <w:p>
      <w:r>
        <w:rPr>
          <w:b/>
        </w:rPr>
        <w:t xml:space="preserve">Quelle: </w:t>
      </w:r>
      <w:r>
        <w:t>https://mcp.opencaselaw.ch/entscheid/ge_gerichte_ATAS_491_2015</w:t>
      </w:r>
    </w:p>
    <w:p>
      <w:r>
        <w:t>FR: GE_GERICHTE ATAS/491/2015 du 29 juin 2015</w:t>
      </w:r>
    </w:p>
    <w:p>
      <w:r>
        <w:t>IT: GE_GERICHTE ATAS/491/2015 del 29 giugno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droit de la recourante à une rente d'invalidité.</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w:t>
      </w:r>
    </w:p>
    <w:p>
      <w:r>
        <w:t>A/3167/2014 - 7/11 -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7</w:t>
      </w:r>
    </w:p>
    <w:p>
      <w:r>
        <w:t>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8</w:t>
      </w:r>
    </w:p>
    <w:p>
      <w:r>
        <w:t>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w:t>
      </w:r>
    </w:p>
    <w:p>
      <w:r>
        <w:t>A/3167/2014 - 8/11 -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w:t>
      </w:r>
    </w:p>
    <w:p>
      <w:r>
        <w:t>A/3167/2014 - 9/11 -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12</w:t>
      </w:r>
    </w:p>
    <w:p>
      <w:r>
        <w:t>a) En l'espèce, l'intimé a retenu que la recourante a un statut d'active à 80% et que, selon l'avis du SMR du 15 août 2014, elle est capable d'exercer une activité compatible avec ses limitations fonctionnelles à 100%, avec une diminution de rendement de 20% et un empêchement dans le ménage de 10%, de sorte que le degré d'invalidité est de 2,8%. La recourante estime que l'intimé a opéré un revirement injustifié en renonçant à ordonner l'expertise pluridisciplinaire qu'il avait envisagée, ce qui violait son droit d'être entendue et conteste être capable de travailler à 100% dans une activité adaptée, en relevant qu'elle est au contraire totalement incapable d'exercer une telle activité. b) Le droit d'être entendu ne s'oppose pas à ce que l'autorité mette un terme à l'instruction lorsque les preuves administrées lui permettent de se forger une conviction et que, procédant d'une façon non arbitraire à une appréciation anticipée des preuves qui lui sont encore proposées, elle a la certitude que ces dernières ne pourraient plus l'amener à modifier son opinion (ATF 136 I 229 consid. 5.3 p. 236; 134 I 140 consid. 5.3 p. 148). Il s'agit par conséquent d'un grief qu'il convient d'examiner avec le fond du litige (ATF 9C_457/2013 du 26 décembre 2013, consid. 3.1.). c) La chambre de céans constate que l'intimé s'est fondée sur les diagnostics établis par les médecins-traitants C______ et D______, soit un lupus érythémateux, une connectivité indifférenciée, une fibromyalgie et une tendinopathie de la coiffe des rotateurs prédominant à l'épaule gauche. Le Dr C______ a relevé qu'il avait estimé</w:t>
      </w:r>
    </w:p>
    <w:p>
      <w:r>
        <w:t>A/3167/2014 - 10/11 - en 2014 une capacité de travail limitée à 50% et non plus à 70%, comme il l'avait attesté en 2013, car les plaintes avaient augmenté, en relevant aussi que le SMR retenait de nombreuses limitations fonctionnelles, même dans une activité sédentaire pure, ce qui n'était pas cohérent avec l'estimation d'une capacité de travail à 100% avec un rendement réduit de 20%. On ne saurait, comme l'a fait l'intimé, écarter cet avis, ce d'autant qu'il se réfère à l'augmentation des plaintes de la recourante dans le cadre d'un diagnostic de fibromyalgie, lequel est précisément principalement basé sur les plaintes de l'intéressée. La baisse de rendement de 20% admise par le SMR se fonde uniquement sur les rapports des médecins-traitants, le SMR n'ayant pas examiné la recourante et celle-ci n'ayant pas non plus fait l'objet d'une expertise. Or, le Dr C______ a motivé - certes sommairement, mais il s'agit du médecin qui a examiné et suivi la recourante - une capacité de travail maximale de 50% dans une activité adaptée. Par ailleurs, l'intimé retient, dans son calcul du degré d'invalidité – même si cela n'apparaît plus dans la décision litigieuse – un empêchement dans les tâches ménagères qu'il a fixé à 10%, sans motivation, le SMR ayant uniquement relevé que les limitations fonctionnelles impliquaient des empêchements dans le ménage, sans les chiffrer. d) Il convient, dans ces circonstances, de constater que le cas de la recourante est insuffisamment instruit, une incapacité de travail de 50% ne pouvant pas non plus être admise sur le seul avis, sommairement motivé, du Dr C______. En conséquence, la cause doit être renvoyée à l'intimé, afin qu'il procède à l'instruction médicale du dossier, comme il l'avait, dans un premier temps, envisagé, et rende une nouvelle décision, étant souligné qu'il incombera à l'intimé d'examiner si une expertise tridisciplinaire, rhumatologique, psychiatrique et de médecine interne, est réellement justifiée ou, au contraire, si une expertise mono ou bidisciplinaire suffirait. Il convient de relever que le Dr C______ exclut aussi l'exercice d'activités répétitives, de sorte que l'intimé devra, si son instruction médicale le confirme, concrètement examiner quelle activité la recourante est encore capable d'exercer et, en particulier, si une activité de bureau telle qu'avancée par le Dr C______ est exigible, compte tenu de la formation de la recourante.</w:t>
      </w:r>
    </w:p>
    <w:p>
      <w:r>
        <w:rPr>
          <w:b/>
        </w:rPr>
        <w:t>E. 13</w:t>
      </w:r>
    </w:p>
    <w:p>
      <w:r>
        <w:t>Au vu de ce qui précède, le recours sera partiellement admis et la décision du 1er octobre 2014 sera annulée. La recourante obtenant gain de cause, une indemnité de CHF 2'500.- lui sera accordée à titre de participation à ses frais et dépens (art. 61 let. g LPGA;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500.-.</w:t>
      </w:r>
    </w:p>
    <w:p>
      <w:r>
        <w:t>A/3167/2014 - 11/11 -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