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ATAS/491/2010 vom 7. Mai 2010</w:t>
      </w:r>
    </w:p>
    <w:p>
      <w:r>
        <w:t>GE Cour de justice, 2010-05-07, FR</w:t>
      </w:r>
    </w:p>
    <w:p>
      <w:r>
        <w:rPr>
          <w:b/>
        </w:rPr>
        <w:t xml:space="preserve">Quelle: </w:t>
      </w:r>
      <w:r>
        <w:t>https://mcp.opencaselaw.ch/entscheid/ge_gerichte_ATAS_491_2010</w:t>
      </w:r>
    </w:p>
    <w:p>
      <w:r>
        <w:t>FR: GE_GERICHTE ATAS/491/2010 du 7 mai 2010</w:t>
      </w:r>
    </w:p>
    <w:p>
      <w:r>
        <w:t>IT: GE_GERICHTE ATAS/491/2010 del 7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Le recours, déposé dans le délai et la forme requis, est recevable.</w:t>
      </w:r>
    </w:p>
    <w:p>
      <w:r>
        <w:t>- 8/13-</w:t>
      </w:r>
    </w:p>
    <w:p>
      <w:r>
        <w:t>A/3609/2008</w:t>
      </w:r>
    </w:p>
    <w:p>
      <w:r>
        <w:rPr>
          <w:b/>
        </w:rPr>
        <w:t>E. 4</w:t>
      </w:r>
    </w:p>
    <w:p>
      <w:r>
        <w:t>Le litige porte sur la détermination des affections psychiatriques de l'assurée et leurs conséquences sur sa capacité de travail.</w:t>
      </w:r>
    </w:p>
    <w:p>
      <w:r>
        <w:rPr>
          <w:b/>
        </w:rPr>
        <w:t>E. 5</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w:t>
      </w:r>
    </w:p>
    <w:p>
      <w:r>
        <w:t>- 9/13-</w:t>
      </w:r>
    </w:p>
    <w:p>
      <w:r>
        <w:t>A/3609/2008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w:t>
      </w:r>
    </w:p>
    <w:p>
      <w:r>
        <w:t>- 10/13-</w:t>
      </w:r>
    </w:p>
    <w:p>
      <w:r>
        <w:t>A/3609/2008 spéciales à la disposition de la justice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On peut et on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Dans un arrêt récent, le Tribunal Fédéral a sévèrement critiqué une expertise "entachée de défauts majeurs qui dénotent un manque certain de rigueur", l'expertise étant rendue "peu lisible en raison du manque de structure et de lacunes au niveau des informations recueillies", le Tribunal fédéral reprochant à l'expert d'avoir usé, à l'égard des rapports du SMR, de tournures ironiques ou polémiques inappropriées, l'ensemble des éléments étant "de nature à ébranler sérieusement la crédibilité des experts" (arrêt du 2 février 2010, 9C_603/2009).</w:t>
      </w:r>
    </w:p>
    <w:p>
      <w:r>
        <w:rPr>
          <w:b/>
        </w:rPr>
        <w:t>E. 6</w:t>
      </w:r>
    </w:p>
    <w:p>
      <w:r>
        <w:t>Dans le cas d'espèce, l'expertise du Dr. D___________, expert mandaté par le Tribunal, n'est malheureusement pas suffisamment crédible pour que le Tribunal puisse suivre ses conclusions, sans avoir de doute sur la solution adoptée. En effet : - plusieurs passages de l'expertise sont totalement incompréhensibles ; - les informations recueillies, au niveau de la consommation réelle de substances diverses ainsi que de la situation familiale de l'assurée sont très lacunaires;</w:t>
      </w:r>
    </w:p>
    <w:p>
      <w:r>
        <w:t>- 11/13-</w:t>
      </w:r>
    </w:p>
    <w:p>
      <w:r>
        <w:t>A/3609/2008 l'expert se contente d'affirmer qu'elle est abstinente et que ses deux enfants vont bien ; - l'expertise est émaillée de critiques, sous-entendus et remises en cause gratuites de l'avis du médecin-traitant, qui certes n'est pas psychiatre et ne peut donc pas être déterminant à lui seul, mais dont l'avis, fondé sur un suivi régulier de la patiente, mérite le respect ; - certaines conclusions contradictoires devraient être déchiffrées, voire être interprétées, par le Tribunal pour être compréhensibles (capacité à 100%, mais qui peut encore être améliorée) ; Pour l'ensemble de ces motifs, le Tribunal de céans se voit contraint d'ordonner une nouvelle expertise psychiatrique de l'assurée. Toutefois, et bien que cette dernière allègue que c'est l'affection psychique dont elle souffre qui l'empêche de se rendre avec ponctualité aux rendez-vous fixés, l'assurée devra faire l'effort, soutenue en cela par son médecin-traitant, son avocat et son assistante sociale, de participer à la nouvelle expertise ordonnée et de donner suite aux convocations de l'expert.</w:t>
      </w:r>
    </w:p>
    <w:p>
      <w:r>
        <w:rPr>
          <w:b/>
        </w:rPr>
        <w:t>E. 7</w:t>
      </w:r>
    </w:p>
    <w:p>
      <w:r>
        <w:t>En application de l’art. 39 de la loi sur la procédure administrative (LPA), un délai de 10 jours a été accordé aux parties pour une éventuelle récusation de l’expert, et avis sur les questions posées, ensuite de quoi la présente ordonnance leur est communiquée, en tenant compte des propositions de modifications de l'OAI. Ainsi, la question 9 a été reformulée de façon à ne pas préjuger de l'incapacité de travail et la seconde phrase de la question 15 a été retranchée.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