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ATAS/490/2020 vom 18. Juni 2020</w:t>
      </w:r>
    </w:p>
    <w:p>
      <w:r>
        <w:t>GE Cour de justice, 2020-06-18, FR</w:t>
      </w:r>
    </w:p>
    <w:p>
      <w:r>
        <w:rPr>
          <w:b/>
        </w:rPr>
        <w:t xml:space="preserve">Quelle: </w:t>
      </w:r>
      <w:r>
        <w:t>https://mcp.opencaselaw.ch/entscheid/ge_gerichte_ATAS_490_2020</w:t>
      </w:r>
    </w:p>
    <w:p>
      <w:r>
        <w:t>FR: GE_GERICHTE ATAS/490/2020 du 18 juin 2020</w:t>
      </w:r>
    </w:p>
    <w:p>
      <w:r>
        <w:t>IT: GE_GERICHTE ATAS/490/2020 del 18 giugno 2020</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 accidents relative à des prestations prévues par la LAA. b. La procédure devant la chambre de céans est régie par les dispositions de la LPGA et celles du titre IVA (soit les art. 89B à 89l)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c. Aux termes de l'art. 60 LPGA, le recours doit être déposé dans les trente jours suivant la notification de la décision sujette à recours (al. 1). Les art. 38 à 41 sont applicables par analogie (al. 2). Selon l'art. 38 al. 3, 1ère phrase LPGA, lorsque le délai échoit un samedi, un dimanche ou un jour férié selon le droit fédéral ou cantonal, son terme est reporté au premier jour ouvrable qui suit. d. Datée du 5 juin 2019, la décision entreprise a été reçue au plus tôt le lendemain par le conseil du recourant. Ayant commencé à courir le 7 juin, le délai de recours est arrivé à échéance le samedi 6 juillet 2019, et a par conséquent été reporté au lundi suivant. Posté le 8 juillet 2019, le recours a été interjeté en temps utile. Respectant également les formes prescrites par la loi, il est recevable (art. 56 à 61 LPGA).</w:t>
      </w:r>
    </w:p>
    <w:p>
      <w:r>
        <w:rPr>
          <w:b/>
        </w:rPr>
        <w:t>E. 2</w:t>
      </w:r>
    </w:p>
    <w:p>
      <w:r>
        <w:t>Le litige concerne exclusivement le droit du recourant à une IPAI pour les suites de son accident du 16 mars 2008.</w:t>
      </w:r>
    </w:p>
    <w:p>
      <w:r>
        <w:rPr>
          <w:b/>
        </w:rPr>
        <w:t>E. 3</w:t>
      </w:r>
    </w:p>
    <w:p>
      <w:r>
        <w:t>janvier 2018 consid. 5,2 ; Valérie DEFAGO GAUDIN, in Dupont/Moser-Szeless (éditrices), Commentaire romand de la LPGA, n. 17 ad art. 49 LPGA). Bien que la notification irrégulière d'une décision ne doive entraîner aucun préjudice pour l'intéressé (art. 49 al. 3 LPGA), on ne saurait déduire de ce principe que le défaut de notification aurait pour conséquence la nullité de la décision en cause. Le défaut de notification n'est susceptible d'entraîner des conséquences que dans la mesure où il a causé une erreur préjudiciable à son destinataire ; en effet, la protection juridique des parties est suffisamment réalisée lorsque la notification irrégulière atteint son but malgré cette irrégularité (ATF 122 V 189 consid. 2).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 part (ATF 111 V 149 consid. 4c ; arrêts du Tribunal fédéral 9C_85/2011 du 17 janvier 2012 consid. 4.3 et 9C_791/2010 du 10 novembre 2010 consid. 2.2 ; Ueli KIESER, ATSG-Kommentar, 4ème éd. 2020, p. 897 n. 71 ad art. 49 LPGA; Valérie DEFAGO GAUDIN, op. cit., p. 598).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qu'à titre exceptionnel (arrêt du Tribunal fédéral 9C_181/2013 du 20 août 2013 consid. 3.3 et la référence). c. En l’espèce, la décision du 4 avril n’est certes pas signée mais imprimée sur le papier à entête habituel de l’intimée, lequel fait mention des coordonnées de la</w:t>
      </w:r>
    </w:p>
    <w:p>
      <w:r>
        <w:t>A/2584/2019 - 18/26 - gestionnaire et du numéro de référence habituels. Elle satisfait ainsi aux exigences de la forme écrite et a, en toute hypothèse, atteint son but. Il ressort en effet de l’opposition du 25 avril 2019 que le recourant ne s’est pas contenté de faire part de ses doutes quant à la validité de cette décision en tant qu’elle n’était pas signée mais qu’il a d’emblée exprimé son désaccord avec la solution retenue. S’il est vrai que le recourant ne disposait pas, au moment de son opposition du 25 avril 2019, des rapports des 27 et 28 mars 2019 du Dr H______, force est toutefois de constater qu’une fois en possession de ces derniers, il a pu compléter son opposition le 27 mai 2019. S’agissant enfin de la correspondance entre l’intimée et la Zurich, laquelle n’a été transmise au recourant qu’après l’échéance du délai de recours, il convient d’admettre que l’éventuelle violation du droit d’être entendu en résultant a été réparée. En effet, le recourant a eu la possibilité, les 30 juillet et 10 octobre 2019, de s’exprimer devant la chambre de céans au sujet de la transaction passée entre l’intimée et la Zurich. Aussi le moyen tiré de la violation du droit d’être entendu s’avère infondé.</w:t>
      </w:r>
    </w:p>
    <w:p>
      <w:r>
        <w:rPr>
          <w:b/>
        </w:rPr>
        <w:t>E. 4</w:t>
      </w:r>
    </w:p>
    <w:p>
      <w:r>
        <w:t>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w:t>
      </w:r>
    </w:p>
    <w:p>
      <w:r>
        <w:t>A/2584/2019 - 19/26 -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La réglementation prévue à l'art. 24 al. 2 LAA suppose que les conditions d'octroi de chacune des prestations soient réunies au même moment (ATF 113 V 48 consid. 3). Il peut toutefois arriver que l'indemnité pour atteinte à l'intégrité ne puisse pas être allouée en même temps que la rente d'invalidité, parce que, au moment de la fixation de la rente, il n'est pas encore possible de se prononcer avec certitude sur les conditions du droit à l'indemnité (ATF 119 V 131 consid. 3c). c.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 134/03 du 12 janvier 2004 consid. 5.2).</w:t>
      </w:r>
    </w:p>
    <w:p>
      <w:r>
        <w:rPr>
          <w:b/>
        </w:rPr>
        <w:t>E. 5</w:t>
      </w:r>
    </w:p>
    <w:p>
      <w:r>
        <w:t>Depuis le 1er janvier 2008, le montant maximum du gain assuré s’élève à CHF 126'000.- par an et CHF 346.- par jour (art. 22 al. 1 de l'ordonnance sur l'assurance-accidents, du 20 décembre 1982 [OLAA ; RS 832.202]). Entre le</w:t>
      </w:r>
    </w:p>
    <w:p>
      <w:r>
        <w:t>A/2584/2019 - 20/26 - 1er janvier 2000 et le 31 décembre 2007, ce montant s'élevait à CHF 106'800.- par an et CHF 293.- par jour (art. 22 al. 1 aOLAA; RO 1998 2588). En cas de rechute ou de séquelles tardives, la base de calcul déterminante pour le calcul de l'indemnité pour atteinte à l'intégrité due est le montant maximum du gain annuel assuré au jour de l'accident (ATF 127 V 456 consid. 4).</w:t>
      </w:r>
    </w:p>
    <w:p>
      <w:r>
        <w:rPr>
          <w:b/>
        </w:rPr>
        <w:t>E. 6</w:t>
      </w:r>
    </w:p>
    <w:p>
      <w:r>
        <w:t>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w:t>
      </w:r>
    </w:p>
    <w:p>
      <w:r>
        <w:rPr>
          <w:b/>
        </w:rPr>
        <w:t>E. 7</w:t>
      </w:r>
    </w:p>
    <w:p>
      <w:r>
        <w:t>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209 consid. 2b; ATF 124 V 29 consid. 3). Pour se prononcer sur le caractère durable de l'atteinte à l'intégrité et sur la nécessité de mettre en œuvre une instruction d'ordre psychiatrique, on se fondera sur la pratique applicable à la question de la causalité adéquate en cas de troubles psychiques consécutifs à un accident (ATF 115 V 133 consid. 6; ATF 115 V 403 consid. 5). Conformément à cette jurisprudence et à la doctrine psychiatrique majoritaire, le droit à une indemnité pour atteinte à l'intégrité doit être en principe nié en cas d'accident insignifiant ou de peu de gravité, même si l'existence d'un lien de</w:t>
      </w:r>
    </w:p>
    <w:p>
      <w:r>
        <w:t>A/2584/2019 - 21/26 - causalité adéquate est exceptionnellement admise. En cas d'accident de gravité moyenne également, le caractère durable de l'atteinte doit, en règle générale, être nié sans qu'il soit nécessaire de mettre en œuvre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(ATF 115 V 133 consid. 6c; ATF 115 V 403 consid. 5c), pour autant qu'ils revêtent une importance et une intensité particulières et qu'en tant que facteurs stressants, ils ont, de manière évidente, favorisé l'installation de troubles durables pour toute la vie. Enfin, en cas d'accidents graves, le caractère durable de l'atteinte à la santé psychique doit toujours être examiné, au besoin par la mise en œuvre d'une expertise psychiatrique, pour autant qu'il n'apparaisse pas déjà évident sur le vu des éléments ressortant du dossier (ATF 124 V 29 consid. 5c; ATF 124 V 209 consid. 4b).</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A/2584/2019 - 22/26 -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b/bb.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w:t>
      </w:r>
    </w:p>
    <w:p>
      <w:r>
        <w:t>A/2584/2019 - 23/26 - c.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10</w:t>
      </w:r>
    </w:p>
    <w:p>
      <w:r>
        <w:t>À la suite de l’arrêt ATAS/88/2016 du 3 février 2016 qui rejetait son recours contre la décision sur opposition du 4 avril 2014 lui octroyant une rente d’invalidité de</w:t>
      </w:r>
    </w:p>
    <w:p>
      <w:r>
        <w:rPr>
          <w:b/>
        </w:rPr>
        <w:t>E. 14</w:t>
      </w:r>
    </w:p>
    <w:p>
      <w:r>
        <w:t>% avec effet au 1er janvier 2013, le recourant a invité l’intimée à rendre une décision relative à l’octroi d’une IPAI. La décision du 4 avril 2019, rejetant l’octroi d’une telle indemnité, confirmée sur opposition le 5 juin 2019, se fonde sur « l’examen final par le médecin d’arrondissement » du 25 mars 2019 et deux appréciations consécutives de ce praticien, datées des 27 et 28 mars 2019. En l’absence de lien de causalité adéquate entre l’accident du 16 mars 2008 et les troubles psychiques du recourant (cf. ATAS/88/2016 du 3 février 2016 consid. 6), le fait que l’intimée ait examiné les conditions d’octroi d’une IPAI uniquement sous l’angle des troubles somatiques consécutifs à cet accident n’est pas critiqué par le recourant et n’apparaît pas critiquable non plus (cf. ci-dessus : consid. 7). En revanche, ce dernier s’en prend aux appréciations du Dr H______ des 27 et 28 mars 2019 en soutenant que sa capacité de travail, définitivement nulle dans l’ancienne profession de maçon, de même que sa rente d’invalidité de 14 % impliqueraient forcément un taux d’atteinte à l’intégrité important. S’agissant de ses hernies musculaires à la cuisse gauche, il fait valoir que ses médecins ne partageraient pas l’avis du Dr H______ dès lors qu’il existerait un risque de toucher un nerf au cours d’une intervention consistant à réduire lesdites hernies. Enfin, les appréciations du Dr H______ seraient contradictoires dans la mesure où ce médecin constate, d’une part, que l’examen neurologique des membres inférieurs « permet de confirmer l’anomalie de la force musculaire et de la sensibilité » et qu’il conclut, d’autre part, qu’il n’y a aucune limitation fonctionnelle à l’examen clinique. La chambre de céans considère que les arguments du recourant ne s’avèrent que partiellement pertinents. En effet, une atteinte à l’intégrité est réputée durable</w:t>
      </w:r>
    </w:p>
    <w:p>
      <w:r>
        <w:t>A/2584/2019 - 24/26 -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S’agissant du caractère durable de l’atteinte, on ne saurait se contenter de la simple affirmation, non étayée par le moindre avis médical, d’après laquelle les hernies musculaires ne seraient pas réductibles sans risque. Quant au caractère important de l’atteinte, il ne dépend précisément pas de la capacité de gain (art. 36 al. 1, 2ème phrase OLAA) mais des « directives figurant à l’annexe 3 » (art. 36 al. 2 OLAA), de sorte qu’il n’est pas décisif que la capacité de travail du recourant soit nulle en tant que maçon et qu’il bénéficie d’une rente d’invalidité de 14 % rétroagissant au 1er janvier 2013. En revanche, dans la mesure où l'intégrité au sens de l'art. 24 al. 1 LAA consiste généralement en un déficit corporel – anatomique ou fonctionnel –, mental ou psychique (cf. ATF 115 V 147 consid. 3a), « l’anomalie de la force musculaire et de la sensibilité » constatées le 25 mars 2019 par le Dr H______ lors de son examen neurologique des membres inférieurs constitue l’expression d’un tel déficit dont on ignore toutefois la gravité et dont on ne retrouve aucune trace – ne serait-ce que sous la forme d’un argument médical succinct – dans les appréciations des 27 et 28 mars 2019 dès lors que l’évaluation de l’IPAI a été « faite ce jour par rapport aux hernies et aux douleurs que présente l’assuré » (cf. dossier intimée, pce 380, p. 4). Or, selon la jurisprudence, des troubles de la sensibilité et des douleurs neuropathiques des membres inférieurs peuvent tout à fait justifier l’octroi d’une IPAI sur la base d’une appréciation neurologique du cas (cf. arrêt du Tribunal fédéral 8C_362/2014 du 25 juin 2014 consid. 6.2, dans lequel l’application par analogie de la table 7 de la SUVA a été admise, cette dernière étant la seule à prévoir une échelle d’intensité des douleurs fonctionnelles). Dans son appréciation du 27 mars 2019, le Dr H______ indique certes qu’il ne peut « que confirmer l’absence d’indemnité pour atteinte à l’intégrité indemnisable » (dossier intimée, pce 380, p. 4). Cependant, à l’examen des rapports antérieurs de ce médecin, que l’appréciation du 27 mars 2019 est censée confirmer (cf. les examens des 30 mars 2011 et 12 mars 2012), il s’avère que le Dr H______ y fonde son appréciation relative au refus d’une IPAI sur la base des seules constatations orthopédiques (cf. dossier intimée, pce 229, p. 5, dernier § ; cf. aussi pce 162, p. 6 avant-dernier §) et donc à l’exclusion de facteurs neurologiques notamment. À cet égard, la chambre de céans constate que dans leur rapport du</w:t>
      </w:r>
    </w:p>
    <w:p>
      <w:r>
        <w:rPr>
          <w:b/>
        </w:rPr>
        <w:t>E. 18</w:t>
      </w:r>
    </w:p>
    <w:p>
      <w:r>
        <w:t>juin 2012, les médecins de la CRR indiquent que « l’examen neurologique dirigé » des membres inférieurs auxquels ils ont procédé révèle une « force et sensibilité conservées » (cf. dossier intimée, pce 249, p. 2, dernier §). Dans ces circonstances, on peine à saisir pour quelles raisons le Dr H______ indique dans son appréciation du 27 mars 2019 que l’évolution globale de cet accident est largement favorable, alors même qu’il mentionne quelques lignes plus haut que « l’examen neurologique des [membres inférieurs] permet de confirmer l’anomalie de la force musculaire et de la sensibilité » (cf. dossier intimée, pce 380, p. 4).</w:t>
      </w:r>
    </w:p>
    <w:p>
      <w:r>
        <w:t>A/2584/2019 - 25/26 - Au vu de ces éléments, la chambre de céans ne dispose pas de rapports médicaux suffisamment fiables et exempts de contradictions pour se prononcer sur le droit du recourant à une IPAI. Étant donné que le Dr H______ – qui n’est pas neurologue – a adjoint un volet neurologique à son examen du 25 mars 2019, sans toutefois faire mention de l’anomalie constatée dans l’appréciation consécutive du cas, la cause sera renvoyée à l’intimée pour instruction complémentaire sur le plan neurologique ; il incombera notamment aux spécialiste(s) désigné(s) d’examiner si d’une part, les douleurs ayant motivé une infiltration du grand trochanter de la hanche gauche le 17 avril 2019 et d’autre part, l’anomalie de la force musculaire et de la sensibilité constatées par le Dr H______ se traduisent, cas échéant, par un déficit fonctionnel et/ou des douleurs fonctionnelles (cf. arrêt du Tribunal fédéral 8C_362/2014 du 25 juin 2014 précité, consid. 6.2 et 6.3). L’appréciation médicale qui s’ensuivra devra indiquer s’il existe une atteinte à l’intégrité tombant sous le barème de l’annexe 3 OLAA ou, dans la négative, s’il s’agit d’une atteinte spéciale ou ne figurant pas dans la liste (cf. ch. 1 al. 2 de l’annexe 3 OLAA) mais atteignant un taux d’au moins 5 %. Cela fait, l’intimée rendra une nouvelle décision. Dans ces circonstances, le point de savoir si l’intimée avait d’ores et déjà décidé de ne pas octroyer d’IPAI au recourant (avant même l’examen final du 25 mars 2019 par le Dr H______) ou si elle avait oublié de réclamer à la Zurich le montant d’une telle indemnité et voulait dès lors en faire supporter les conséquences au recourant n’a pas besoin d’être tranchée. Au demeurant, rien n’indique que le Dr H______ ait vu sa liberté d’appréciation restreinte comme le sous-entend le recourant. En effet, dans ses appréciations des 30 mars 2011 et 12 mars 2012 – qui sont bien antérieures aux pourparlers transactionnels entre l’intimée et la Zurich – ce médecin était déjà d’avis que le recourant ne remplissait pas les conditions d’octroi d’une IPAI. 11. Compte tenu de ce qui précède, le recours est partiellement admis, la décision sur opposition du 5 juin 2019 annulée et la cause renvoyée à l’intimée pour instruction complémentaire au sens des considérants et nouvelle décision. 12. Le recourant obtenant partiellement gain de cause et étant représenté, une indemnité de CHF 2'000.- lui sera accordée à titre de participation à ses frais et dépens (art. 61 let. g LPGA ; art. 6 du règlement sur les frais, émoluments et indemnités en matière administrative du 30 juillet 1986 [RFPA - E5 10.03]).</w:t>
      </w:r>
    </w:p>
    <w:p>
      <w:r>
        <w:t>*****</w:t>
      </w:r>
    </w:p>
    <w:p>
      <w:r>
        <w:t>A/2584/2019 - 26/26 -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