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ATAS/490/2014 vom 9. April 2014</w:t>
      </w:r>
    </w:p>
    <w:p>
      <w:r>
        <w:t>GE Cour de justice, 2014-04-09, FR</w:t>
      </w:r>
    </w:p>
    <w:p>
      <w:r>
        <w:rPr>
          <w:b/>
        </w:rPr>
        <w:t xml:space="preserve">Quelle: </w:t>
      </w:r>
      <w:r>
        <w:t>https://mcp.opencaselaw.ch/entscheid/ge_gerichte_ATAS_490_2014</w:t>
      </w:r>
    </w:p>
    <w:p>
      <w:r>
        <w:t>FR: GE_GERICHTE ATAS/490/2014 du 9 avril 2014</w:t>
      </w:r>
    </w:p>
    <w:p>
      <w:r>
        <w:t>IT: GE_GERICHTE ATAS/490/2014 del 9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Selon l’art. 58 al. 1 LPGA, le tribunal des assurances compétent est celui du canton de domicile de l’assuré pou d’une autre partie au moment du dépôt du recours. En l’occurrence, la recourante était domiciliée à Genève lors du dépôt du recours. Par conséquent, la compétence ratione materiae et loci de la chambre de céans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nouvelles normes de la LPGA et des modifications de la LAI, dans la mesure de leur pertinence (ATF 130 V 445 et les références; voir également ATF 130 V 329). Cela étant, ces novelles n'ont pas amené de modifications substantielles en matière</w:t>
      </w:r>
    </w:p>
    <w:p>
      <w:r>
        <w:t>A/311/2013 - 11/17 - d'évaluation de l'invalidité (ATFA non publié I 249/05 du 11 juillet 2006, consid. 2.1 et Message concernant la modification de la loi fédérale sur l'assurance- invalidité du 22 juin 2005, FF 2005 p. 4322).</w:t>
      </w:r>
    </w:p>
    <w:p>
      <w:r>
        <w:rPr>
          <w:b/>
        </w:rPr>
        <w:t>E. 3</w:t>
      </w:r>
    </w:p>
    <w:p>
      <w:r>
        <w:t>Le délai de recours est de trente jours (art. 60 al. 1 LPGA). Compte tenu de la suspension des délais du 18 décembre au 2 janvier inclusivement (art. 38 al. 4 let. c LPGA), le recours interjeté le 25 janvier 2013 dans la forme prévue par la loi est recevable (art. 56 et 60 LPGA ; art. 89B de la loi sur la procédure administrative du 12 septembre 1985 – LPA; RS/GE E 5 10).</w:t>
      </w:r>
    </w:p>
    <w:p>
      <w:r>
        <w:rPr>
          <w:b/>
        </w:rPr>
        <w:t>E. 4</w:t>
      </w:r>
    </w:p>
    <w:p>
      <w:r>
        <w:t>Le litige porte sur le droit de la recourante à des prestations de l’assurance- invalidité, singulièrement sur son taux d’invalidité.</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RAI). L’art. 28 al. 2 LAI dispose que l’assuré a droit à une rente entière s’il est invalide à 70% au moins, à trois quarts de rente s’il est invalide à 60% au moins, à une demi-</w:t>
      </w:r>
    </w:p>
    <w:p>
      <w:r>
        <w:t>A/311/2013 - 12/17 - rente s’il est invalide à 50% au moins ou à un quart de rente s’il est invalide à 40% au moins.</w:t>
      </w:r>
    </w:p>
    <w:p>
      <w:r>
        <w:rPr>
          <w:b/>
        </w:rPr>
        <w:t>E. 6</w:t>
      </w:r>
    </w:p>
    <w:p>
      <w:r>
        <w:t>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w:t>
      </w:r>
    </w:p>
    <w:p>
      <w:r>
        <w:t>A/311/2013 - 13/17 -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Il convient de rappeler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w:t>
      </w:r>
    </w:p>
    <w:p>
      <w:r>
        <w:t>A/311/2013 - 14/17 - connaissance du dossier (anamnèse), que la description des interférences médicales soit claire et enfin que les conclusions de l'expert soient bien motivées (ATF 125 V 351, consid. 3). D’autre part,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8</w:t>
      </w:r>
    </w:p>
    <w:p>
      <w:r>
        <w:t>En l’espèce, il résulte des rapports médicaux figurant au dossier que la recourante souffre d’une fibromyalgie floride depuis une dizaine d’années (cf. notamment rapports des Drs L__________, N__________, O__________). Le Dr R__________, expert rhumatologue mandaté par l’intimé, a également retenu ce diagnostic dans son rapport du 20 décembre 2011, relevé l’absence de limitations fonctionnelles et conclu à une capacité de travail totale dans toute activité, sans diminution de rendement. Selon le médecin traitant, l’incapacité de travail est totale dans l’activité de caissière, alors que dans une activité adaptée, la capacité de travail est totale. Sur le plan psychiatrique, le Dr Q__________, expert, a retenu dans son rapport du 31 juillet 2011 un épisode dépressif à caractère réactionnel, en rémission complète. Elle a mentionné en outre une fibromyalgie, sur le plan clinique. Il n’y a aucune limitation sur le plan psychique. Le Dr N__________ a diagnostiqué un trouble dépressif récurrent, épisode actuel moyen et, concernant l’incapacité de travail, s’est référé à l’appréciation du médecin traitant.</w:t>
      </w:r>
    </w:p>
    <w:p>
      <w:r>
        <w:t>A/311/2013 - 15/17 - Enfin, un trouble somatoforme douloureux a été évoqué par le Dr P__________, ainsi qu’un syndrome de dépendance aux opiacés. On pouvait s’attendre à une reprise de l’activité professionnelle à 100 % après sevrage. Toutefois, dans un rapport daté du 20 avril 2012 communiqué à l’intimé en septembre 2012, le médecin traitant expose que de récents examens montrent clairement un syndrome inflammatoire, pouvant évoquer une polyarthrite rhumatoïde, qu’il convenait de réévaluer, après un test à la Prednisone. Le 21 septembre 2012, le Dr L__________ indique qu’après dix jours de traitement, la vitesse de sédimentation est descendue à 7 et la CRP à 7,3 ce qui démontre bien que la patiente souffre d’une maladie inflammatoire et non pas d’une fibromyalgie. Il proposait à l’intimé d’effectuer une nouvelle expertise rhumatologique auprès de professeurs aux HUG. L’intimé réfute cet argument, considérant au contraire que les facteurs biologiques rhumatologiques normaux montrent l’absence d’une atteinte rhumatologique inflammatoire. La chambre de céans relève à cet égard que l’expert rhumatologue a effectivement admis un syndrome inflammatoire biologique, d’après les résultats des analyses. Il explique qu’un diagnostic de polyarthrite ne peut cependant être déterminé uniquement sur la base d’un syndrome inflammatoire biologique puisqu’il peut être présent lors de tout épisode infectieux banal sans aucune répercussion articulaire. Toutefois, la patiente se plaint essentiellement de douleurs dans les doigts, symptômes nouveaux qui pourraient effectivement être liés à une polyarthrite rhumatoïde apparue postérieurement à son expertise. L’expert indique que ce diagnostic doit être clairement certifié par un spécialiste en rhumatologie, sur la base d’un examen clinique et d’examens spécifiques. Une expertise complémentaire auprès d’un rhumatologique serait nécessaire afin de déterminer sa capacité de travail à la lueur de ce probable nouveau diagnostic. L’intimé s’oppose à la réalisation d’une expertise complémentaire, motif pris que selon le Dr R__________, plusieurs de ses patients souffrant de cette maladie sont en mesure de travailler à 100 % notamment grâce à de nouveaux traitements disponibles. Cet argument tombe à faux. D’une part, l’intimé a estimé que la recourante ne présentait aucune atteinte à la santé invalidante en se fondant sur le diagnostic de fibromyalgie. D’autre part, il s’agit de déterminer dans le cas concret si l’atteinte à la santé présentée par la recourante entraîne des répercussions sur sa capacité de travail dans son activité habituelle et, cas échéant, dans une activité adaptée. Or, en l’état actuel du dossier, la chambre de céans n’est pas en mesure de tirer des conclusions définitives sur les atteintes à la santé présentées par la recourante et leurs conséquences sur sa capacité de travail. Il convient de procéder à des</w:t>
      </w:r>
    </w:p>
    <w:p>
      <w:r>
        <w:t>A/311/2013 - 16/17 - investigations complémentaires comme préconisé par le médecin traitant et l’expert, afin de clarifier les aspects médicaux. Etant donné que l’intimé a eu connaissance des faits nouveaux avant sa décision notifiée le 11 décembre 2012, la cause lui sera renvoyée afin qu’elle procède à une instruction complémentaire, notamment par la mise en œuvre d’une expertise complémentaire auprès d’un rhumatologue indépendant.</w:t>
      </w:r>
    </w:p>
    <w:p>
      <w:r>
        <w:rPr>
          <w:b/>
        </w:rPr>
        <w:t>E. 9</w:t>
      </w:r>
    </w:p>
    <w:p>
      <w:r>
        <w:t>Au vu de ce qui précède, le recours sera partiellement admis et la cause renvoyée à l’intimé pour instruction complémentaire et nouvelle décision. L’émolument, fixé à CHF 200.-, est mis à charge de l’intimé (cf. art. 69al. 1bis LAI) Pour le surplus, la procédure est gratuite (art. 89H LPA ; art. 61 let. a LPGA).</w:t>
      </w:r>
    </w:p>
    <w:p>
      <w:r>
        <w:t>A/311/2013 - 17/17 -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