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ATAS/48/2019 vom 21. Januar 2019</w:t>
      </w:r>
    </w:p>
    <w:p>
      <w:r>
        <w:t>GE Cour de justice, 2019-01-21, FR</w:t>
      </w:r>
    </w:p>
    <w:p>
      <w:r>
        <w:rPr>
          <w:b/>
        </w:rPr>
        <w:t xml:space="preserve">Quelle: </w:t>
      </w:r>
      <w:r>
        <w:t>https://mcp.opencaselaw.ch/entscheid/ge_gerichte_ATAS_48_2019</w:t>
      </w:r>
    </w:p>
    <w:p>
      <w:r>
        <w:t>FR: GE_GERICHTE ATAS/48/2019 du 21 janvier 2019</w:t>
      </w:r>
    </w:p>
    <w:p>
      <w:r>
        <w:t>IT: GE_GERICHTE ATAS/48/2019 del 21 gennaio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A/3719/2018 - 3/5 -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du recourant à une ICI.</w:t>
      </w:r>
    </w:p>
    <w:p>
      <w:r>
        <w:rPr>
          <w:b/>
        </w:rPr>
        <w:t>E. 4</w:t>
      </w:r>
    </w:p>
    <w:p>
      <w:r>
        <w:t>a. Selon l’art. 51 al. 1 let. a et al. 2 LACI, les travailleurs assujettis au paiement des cotisations, qui sont au service d'un employeur insolvable sujet à une procédure d'exécution forcée en Suisse ou employant des travailleurs en Suisse, ont droit à une ICI lorsqu’une procédure de faillite est engagée contre leur employeur et qu'ils ont, à ce moment-là, des créances de salaire envers lui (al. 1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(al. 2). b. Aux termes de l’art. 52 al. 1 LACI, l'ICI couvre les créances de salaire portant sur les quatre derniers mois au plus d'un même rapport de travail, jusqu'à concurrence, pour chaque mois, du montant maximal visé à l'art. 3 al. 2. Les allocations dues aux travailleurs font partie intégrante du salaire. c. En édictant l'al.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 cf. Arrêt du Tribunal fédéral des assurances du 24 mars 2004 [C 113/03] publié dans DTA 2004, p. 196 - 199). Cette disposition n'exige donc pas que l'on puisse imputer aux intéressés une responsabilité effective dans l'insolvabilité de ce dernier. Preuve en est le fait que les conjoints des personnes visées par l'art. 51 al. 2 LACI, lorsqu'ils sont occupés dans la même entreprise, sont également exclus du cercle des ayants droit (DTA 2004 no 21 p. 196 consid. 4.2, C 113/03). d. Dans un arrêt C 160/05 du 24 janvier 2006 (consid. 5.2 ss) le Tribunal fédéral des assurances a rappelé que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 41 p. 227 consid. 1b)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w:t>
      </w:r>
    </w:p>
    <w:p>
      <w:r>
        <w:t>A/3719/2018 - 4/5 -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226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(ATF 122 V 273 consid. 3).</w:t>
      </w:r>
    </w:p>
    <w:p>
      <w:r>
        <w:rPr>
          <w:b/>
        </w:rPr>
        <w:t>E. 5</w:t>
      </w:r>
    </w:p>
    <w:p>
      <w:r>
        <w:t>Lorsque, comme en l’espèce, un assuré est membre du conseil d’administration d’une société anonyme, il n’est pas nécessaire, au vu des principes jurisprudentiels exposés supra, d'examiner plus avant l'étendue de son pouvoir de décision pour trancher le point de savoir s'il fait partie du cercle des personnes visées à l'art. 31 al. 3 let. c LACI et, partant, de celles visées à l'art. 51 al. 2 LACI.</w:t>
      </w:r>
    </w:p>
    <w:p>
      <w:r>
        <w:rPr>
          <w:b/>
        </w:rPr>
        <w:t>E. 6</w:t>
      </w:r>
    </w:p>
    <w:p>
      <w:r>
        <w:t>Partant, le recourant ne peut avoir droit à une ICI et le recours ne peut qu’être rejeté. Enfin, il n’y a pas lieu d’entrer en matière sur la requête adressée par le recourant à l’intimé en remboursement de cotisations sociales qu’il a versées, celle-ci outrepassant l’objet du présent litige. Pour le surplus, la procédure est gratuite.</w:t>
      </w:r>
    </w:p>
    <w:p>
      <w:r>
        <w:t>A/3719/2018 - 5/5 -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