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ATAS/489/2021 vom 18. Mai 2021</w:t>
      </w:r>
    </w:p>
    <w:p>
      <w:r>
        <w:t>GE Cour de justice, 2021-05-18, FR</w:t>
      </w:r>
    </w:p>
    <w:p>
      <w:r>
        <w:rPr>
          <w:b/>
        </w:rPr>
        <w:t xml:space="preserve">Quelle: </w:t>
      </w:r>
      <w:r>
        <w:t>https://mcp.opencaselaw.ch/entscheid/ge_gerichte_ATAS_489_2021</w:t>
      </w:r>
    </w:p>
    <w:p>
      <w:r>
        <w:t>FR: GE_GERICHTE ATAS/489/2021 du 18 mai 2021</w:t>
      </w:r>
    </w:p>
    <w:p>
      <w:r>
        <w:t>IT: GE_GERICHTE ATAS/489/2021 del 18 maggio 2021</w:t>
      </w:r>
    </w:p>
    <w:p>
      <w:pPr>
        <w:pStyle w:val="Heading2"/>
      </w:pPr>
      <w:r>
        <w:t>Erwägungen</w:t>
      </w:r>
    </w:p>
    <w:p>
      <w:r>
        <w:rPr>
          <w:b/>
        </w:rPr>
        <w:t>E. 1</w:t>
      </w:r>
    </w:p>
    <w:p>
      <w:r>
        <w:t>Conformément à l'art. 134 al. 1 let. a ch. 2 de la loi sur l'organisation judiciaire, du 26 septembre 2010 (LOJ - E 2 05), la chambre des assurances sociales de la Cour</w:t>
      </w:r>
    </w:p>
    <w:p>
      <w:r>
        <w:t>A/1037/2020 - 7/17 -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Le délai de recours est de trente jours (art. 56 LPGA ; art. 62 al. 1 de la loi sur la procédure administrative du 12 septembre 1985 [LPA - E 5 10]). Interjeté dans la forme et le délai prévus par la loi, le recours est recevable (art. 56 ss LPGA et 62 ss LPA).</w:t>
      </w:r>
    </w:p>
    <w:p>
      <w:r>
        <w:rPr>
          <w:b/>
        </w:rPr>
        <w:t>E. 3</w:t>
      </w:r>
    </w:p>
    <w:p>
      <w:r>
        <w:t>Le litige porte sur le droit de la recourante à une rente d'invalidité, singulièrement sur l'évaluation de sa capacité de travail.</w:t>
      </w:r>
    </w:p>
    <w:p>
      <w:r>
        <w:rPr>
          <w:b/>
        </w:rPr>
        <w:t>E. 4</w:t>
      </w:r>
    </w:p>
    <w:p>
      <w:r>
        <w:t>Aux termes de l’art. 8 al. 1er LPGA, est réputée invalidité l’incapacité de gain totale ou partielle qui est présumée permanente ou de longue durée. Selon l'art. 6 LPGA,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L’invalidité est une notion économique et non médicale, et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501/04 du 13 décembre 2005 consid. 7.2). En vertu de l’art. 28 al. 1er LAI, l’assuré a droit à une rente d’invalidité aux conditions suivantes : sa capacité de gain ou sa capacité d’accomplir ses travaux habituels ne peut pas être rétablie, maintenue ou améliorée par des mesures de réadaptation raisonnablement exigibles (let. a) ; il a présenté une incapacité de travail (art. 6 LPGA) d’au moins 40 % en moyenne durant une année sans interruption notable (let. b) ; au terme de cette année, il est invalide (art. 8 LPGA) à 40 % au moins (let. c). L’art. 28 al. 2 LAI dispose que l’assuré a droit à une rente entière s’il est invalide à 70 % au moins, à trois-quarts de rente s’il est invalide à 60 % au moins, à une demi-rente s’il est invalide à 50 % au moins ou à un quart de rente s’il est invalide à 40 % au moins.</w:t>
      </w:r>
    </w:p>
    <w:p>
      <w:r>
        <w:rPr>
          <w:b/>
        </w:rPr>
        <w:t>E. 5</w:t>
      </w:r>
    </w:p>
    <w:p>
      <w:r>
        <w:t>Pour pouvoir calculer le degré d'invalidité, l'administration (ou le juge, s'il y a eu un recours) a besoin de documents que le médecin, éventuellement aussi d'autres spécialistes, doivent lui fournir (ATF 122 V 157 consid. 1b). Pour apprécier le droit aux prestations d'assurances sociales, il y a lieu de se baser sur des éléments médicaux fiables (ATF 134 V 231 consid 5.1). La tâche du médecin consiste à porter un jugement sur l'état de santé et à indiquer dans quelle mesure et pour quelles activités l'assuré est incapable de travailler. En outre, les données médicales</w:t>
      </w:r>
    </w:p>
    <w:p>
      <w:r>
        <w:t>A/1037/2020 - 8/17 - constituent un élément utile pour déterminer quels travaux on peut encore, raisonnablement, exiger de l'assuré (ATF 125 V 256 consid. 4 ; ATF 115 V 133 consid. 2 ; ATF 114 V 310 consid. 3c ; arrêt du Tribunal fédéral 8C_442/2013 du 4 juillet 2014 consid. 2).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 Sans remettre en cause le principe de la libre appréciation des preuves, le Tribunal fédéral des assurances a posé des lignes directrices en ce qui concerne la manière d'apprécier certains types d'expertises ou de rapports médicaux.</w:t>
      </w:r>
    </w:p>
    <w:p>
      <w:r>
        <w:rPr>
          <w:b/>
        </w:rPr>
        <w:t>E. 6</w:t>
      </w:r>
    </w:p>
    <w:p>
      <w:r>
        <w:t>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ne saurait être tranchée en se fondant sur l'un ou sur l'autre de ces avis et il y a lieu de mettre en œuvre une expertise par un médecin indépendant</w:t>
      </w:r>
    </w:p>
    <w:p>
      <w:r>
        <w:t>A/1037/2020 - 9/17 - selon la procédure de l'art. 44 LPGA ou une expertise judiciaire (ATF 135 V 465 consid. 4.6 ; arrêt du Tribunal fédéral 9C_301/2013 du 4 septembre 2013 consid. 3). 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 ATF 142 V 58 consid. 5.1 ;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 une expertise devra être ordonnée si des doutes, même faibles, subsistent quant à la fiabilité ou à la pertinence des constatations effectuées par le SMR (ATF 142 V 58 consid. 5 ; ATF 135 V 465 consid. 4.4 et 4.6 ; arrêt du Tribunal fédéral 9C_371/2018 du 16 août 2018 consid. 4.3.1).</w:t>
      </w:r>
    </w:p>
    <w:p>
      <w:r>
        <w:rPr>
          <w:b/>
        </w:rPr>
        <w:t>E. 7</w:t>
      </w:r>
    </w:p>
    <w:p>
      <w:r>
        <w:t>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w:t>
      </w:r>
    </w:p>
    <w:p>
      <w:r>
        <w:t>A/1037/2020 - 10/17 - cause les conclusions de l'expert (arrêt du Tribunal fédéral 9C_369/2008 du 5 mars 2009 consid. 2.2).</w:t>
      </w:r>
    </w:p>
    <w:p>
      <w:r>
        <w:rPr>
          <w:b/>
        </w:rPr>
        <w:t>E. 8</w:t>
      </w:r>
    </w:p>
    <w:p>
      <w:r>
        <w:t>C'est aux experts médicaux qu'il appartient d'évaluer l'état de santé de la personne assurée et les répercussions de celui-ci sur la capacité de travail (ATF 140 V 193 consid. 3.2 p. 195 s.). Il est également exact que le Tribunal fédéral a jugé que les données médicales l'emportent en principe sur les constatations qui peuvent être faites notamment à l'occasion d'un stage d'observation professionnelle, lesquelles sont susceptibles d'être influencées par des éléments subjectifs liés au comportement de la personne assurée (arrêt du Tribunal fédéral 9C_323/2018 du 20 août 2018 consid. 4.2 et les références). Ces principes ne signifient cependant pas que le médecin a la compétence de statuer en dernier ressort sur les conséquences de l'atteinte à la santé sur la capacité de travail. Son rôle consiste à prendre position sur l'incapacité de travail, à savoir à procéder à une évaluation qu'il motive de son point de vue le plus substantiellement possible. Les données médicales constituent un élément important pour l'appréciation juridique de la question des travaux pouvant encore être exigés de l'assuré. Elles peuvent si nécessaire être complétées pour évaluer la capacité fonctionnelle pouvant être mise économiquement à profit par l'avis des spécialistes de l'intégration et de l'orientation professionnelles (ATF 140 V 193 consid. 3.2 p. 195 s. et les arrêts cités). Dans les cas où les appréciations (d'observation professionnelle et médicale) divergent sensiblement, il incombe à l'administration, respectivement au tribunal - conformément au principe de la libre appréciation des preuves - de confronter les deux évaluations et, au besoin de requérir un complément d'instruction (arrêts du Tribunal fédéral 9C_68/2017 du 18 avril 2017 consid. 4.4.2 ; 9C_512/2013 du 16 janvier 2014 consid. 5.2.1 et les arrêts cités).</w:t>
      </w:r>
    </w:p>
    <w:p>
      <w:r>
        <w:rPr>
          <w:b/>
        </w:rPr>
        <w:t>E. 9</w:t>
      </w:r>
    </w:p>
    <w:p>
      <w:r>
        <w:t>En ce qui concerne les facteurs psychosociaux ou socioculturels et leur rôle en matière d'invalidité, ils ne figurent pas au nombre des atteintes à la santé susceptibles d'entraîner une incapacité de gain au sens de l'art. 4 al. 1 LAI. Pour qu'une invalidité soit reconnue, il est nécessaire, dans chaque cas, qu'un substrat médical pertinent, entravant la capacité de travail (et de gain) de manière importante, soit mis en évidence par le médecin spécialisé. Plus les facteurs psychosociaux et socioculturels apparaissent au premier plan et imprègnent l'anamnèse, plus il est essentiel que le diagnostic médical précise s'il y a atteinte à la santé psychique qui équivaut à une maladie. Ainsi, il ne suffit pas que le tableau clinique soit constitué d'atteintes qui relèvent de facteurs socioculturels ; il faut au contraire que le tableau clinique comporte d'autres éléments pertinents au plan psychiatrique tels, par exemple, une dépression durable au sens médical ou un état psychique assimilable, et non une simple humeur dépressive. Une telle atteinte psychique, qui doit être distinguée des facteurs socioculturels, et qui doit de manière autonome influencer la capacité de travail, est nécessaire en définitive pour que l'on puisse parler d'invalidité. En revanche, là où l'expert ne relève pour l'essentiel que des éléments qui trouvent leur explication et leur source dans le</w:t>
      </w:r>
    </w:p>
    <w:p>
      <w:r>
        <w:t>A/1037/2020 - 11/17 - champ socioculturel ou psychosocial, il n'y a pas d'atteinte à la santé à caractère invalidant (ATF 127 V 294 consid. 5a in fine).</w:t>
      </w:r>
    </w:p>
    <w:p>
      <w:r>
        <w:rPr>
          <w:b/>
        </w:rPr>
        <w:t>E. 10</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 Le juge des assurances sociales apprécie la légalité des décisions attaquées, en règle générale, d'après l'état de fait existant au moment où la décision litigieuse a été rendue. Les faits survenus postérieurement, et qui ont modifié cette situation, doivent normalement faire l'objet d'une nouvelle décision administrative (ATF 121 V 366 consid. 1b et les références). Ils doivent cependant être pris en considération dans la mesure où ils sont étroitement liés à l'objet du litige et de nature à influencer l'appréciation au moment où la décision attaquée a été rendue (ATF 99 V 102 et les arrêts cités ; arrêt du Tribunal fédéral des assurances I 321/04 du 18 juillet 2005).</w:t>
      </w:r>
    </w:p>
    <w:p>
      <w:r>
        <w:rPr>
          <w:b/>
        </w:rPr>
        <w:t>E. 11</w:t>
      </w:r>
    </w:p>
    <w:p>
      <w:r>
        <w:t>Dans la décision entreprise, l’intimé a considéré que la recourante avait recouvré une pleine capacité de travail dans une activité adaptée depuis mars 2018. Il s’est fondé, en cela, sur l’appréciation du Dr C______, médecin traitant de la recourante, selon laquelle sa capacité de travail était entière dans une activité adaptée depuis le 26 mars 2018 et que ses limitations fonctionnelles concernaient le port de charges lourdes et la position assise et debout prolongée (cf. questionnaire médical AI du 17 mai 2018 et rapport médical intermédiaire du 17 septembre 2018). L’appréciation de ce médecin est basée sur des examens cliniques, des analyses de laboratoire du 23 mars 2018 et un examen radiographique de la colonne lombaire du 24 mai 2018. Devant la chambre de céans, la recourante se prévaut d’un rapport d’IRM de la colonne lombaire réalisée le 9 mars 2020, attestant d’une discopathie et arthrose inter-facettaire entre L2 et S1, avec en L4-L5 un débord discal venant au contact de l’émergence de la racine L5 droite, et d’une anomalie de signal des coins vertébraux de L3 et L4 pouvant correspondre à des lésions de Romanus et pouvant constituer un argument clinique pour une spondylarthropathie inflammatoire. Dans la mesure où la décision entreprise date du 17 février 2020, la question se pose de savoir si les éléments mentionnés dans ce rapport peuvent être pris en compte dans la présente procédure. Cette question peut toutefois demeurer indécise puisque les éléments au dossier permettent de nier l’existence d’une aggravation de</w:t>
      </w:r>
    </w:p>
    <w:p>
      <w:r>
        <w:t>A/1037/2020 - 12/17 - l’état de santé de la recourante ayant une incidence sur sa capacité de travail depuis les derniers rapports médicaux du Dr C______ attestant d’une pleine capacité de travail dans une activité adaptée. En effet, entendu en audience, le Dr C______ a relevé qu’il ne pouvait pas se prononcer sur la base de cette seule imagerie sur l’évolution de l’état de santé de sa patiente. D’après l’intéressé, il convenait de refaire une anamnèse et un examen médical avec des analyses de sang. La médecin du SMR considère, pour sa part, que l’IRM du 9 mars 2020 ne révèle aucune aggravation par rapport à la situation médicale décrite antérieurement par le Dr C______. D’après la doctoresse, l’IRM fait état d’une discrète atteinte dégénérative ; or, des troubles dégénératifs modérés associés à une discopathie modérée non accompagnée de déficit neurologique ni de pathologie inflammatoire étaient tout à fait compatibles avec une capacité de travail entière dans une activité adaptée en respectant les limitations fonctionnelles d’épargne du rachis lombaire (cf. avis du SMR du 9 avril 2020). Lors de l’audience devant la chambre de céans, le Dr C______ s’est rallié à cette appréciation, tout en considérant qu’il convenait de demander l’avis à un rhumatologue et de procéder à une analyse de sang, ainsi qu’à une anamnèse. Il n’a toutefois pas contesté le caractère discret de l’atteinte. Ainsi, en l’absence d’avis médical contraire, il convient de suivre la médecin du SMR sur ce point. Il s’ensuit que, même à considérer que la discopathie et l’arthrose mentionnées dans le rapport d’IRM du 9 mars 2020 constituent des éléments étroitement liés à l’objet du litige et de nature à influencer l’appréciation des faits au moment où la décision attaquée a été rendue, force est de retenir qu’aucun élément au dossier ne vient contredire l’avis du SMR selon lequel leur existence serait tout à fait compatible avec une capacité de travail entière dans une activité adaptée. Le Dr C______ évoque certes un nouveau diagnostic, soit une atteinte inflammatoire qui serait une maladie auto-immune. Or, le SMR a relevé que les analyses de laboratoire font état d’une CRP dans la norme, ce qui vient à exclure une pathologie inflammatoire. Le Dr C______ a certes précisé en audience que, contrairement à ce qu’indiquait le SMR, la CRP n’excluait pas forcément une pathologie inflammatoire. Force est toutefois de constater que, dans le cas de la recourante, la CRP, qui est généralement considérée comme bon marqueur biologique de l’inflammation, indique 2,8 mg/l, ce qui est largement en-deçà du seuil de 5 mg/l pouvant indiquer une infection. À cela s’ajoute qu’à teneur du dossier, aucune inflammation n’a été décelée aux examens cliniques de la recourante. Quoiqu’il en soit, il convient de relever que le rapport d’IRM évoque uniquement un diagnostic potentiel, se limitant à poser la question de savoir si l’anomalie de signal des coins vertébraux de L3 et L4 est un argument clinique pour une spondylarthropathie inflammatoire. Or, ce diagnostic, nullement confirmé au dossier, n’est pas suffisant pour obliger une investigation complémentaire à ce stade. Il sera toutefois précisé qu’il reste loisible à la recourante de déposer une nouvelle demande auprès de l’intimé en cas de nouvelle atteinte avérée.</w:t>
      </w:r>
    </w:p>
    <w:p>
      <w:r>
        <w:t>A/1037/2020 - 13/17 - Compte tenu de ce qui précède, il convient de se fonder sur l’appréciation médicale – non contestée par un avis médical contraire et à laquelle s’est ralliée la médecin du SMR – du Dr C______ selon laquelle la recourante présente une capacité de travail nulle dans son activité actuelle de femme de chambre, depuis 2017, mais que s’agissant d’une activité adaptée aux limitations fonctionnelles d’épargne du rachis lombaire, cette capacité de travail est entière depuis mars 2018. La recourante n’avance en effet aucun argument de nature à remettre en cause cette conclusion. La persistance de la symptomatologie douloureuse lombaire ne permet en tout cas pas de s’en écarter dans la mesure elle avait déjà été prise en compte dans l’appréciation du Dr C______, qui a conclu à une capacité de travail entière dans une activité adaptée. Quant à l’asthénie, la recourante n’apporte aucune pièce permettant de retenir que celle-ci aurait une importance telle qu’elle justifierait une réduction de sa capacité de travail. Le SMR avait d’ailleurs constaté, sans être contesté sur ce point, que l’anémie était minime (hémoglobine à 117 g/l, la norme étant à 120 g/l ; cf. avis du SMR du 9 avril 2020) et qu’elle ne pouvait en aucun cas expliquer une asthénie entraînant une diminution de sa capacité de travail. Il sera également relevé que, lors du prélèvement du 25 février 2020 (pièce 11, intimé), la ferritine présentait la même valeur que lors de l’analyse du 20 février 2018 (pièce 60 intimé), soit 10 µg/l. Le Dr C______ a du reste précisé en audience qu’à elle seule, l’anémie présentée par sa patiente n’entraînait pas de diminution de sa capacité de travail à l’époque où il suivait l’assurée. La chambre de céans considère dès lors comme établi au degré de la vraisemblance prépondérante que la capacité de travail de la recourante est entière dans une activité adaptée depuis mars 2018. On relèvera au demeurant que cette conclusion est partagée par les spécialistes de l’intégration et de l’orientation professionnelles. Les responsables de la Fondation IPT ont en effet validé la cible professionnelle de caissière, testée dans un environnement précis, soulignant toutefois un manque de confiance en soi et d’adaptation face au cadre professionnel (cf. rapport final de la Fondation IPT du 5 décembre 2019).</w:t>
      </w:r>
    </w:p>
    <w:p>
      <w:r>
        <w:rPr>
          <w:b/>
        </w:rPr>
        <w:t>E. 12</w:t>
      </w:r>
    </w:p>
    <w:p>
      <w:r>
        <w:t>Reste à examiner le degré d’invalidité de la recourante.</w:t>
      </w:r>
    </w:p>
    <w:p>
      <w:r>
        <w:rPr>
          <w:b/>
        </w:rPr>
        <w:t>E. 13</w:t>
      </w:r>
    </w:p>
    <w:p>
      <w:r>
        <w:t>Lors de l'examen initial du droit à la rente, il convient d'examiner quelle est la méthode d'évaluation de l'invalidité qu'il s'agit d'appliquer. Le choix de l'une des trois méthodes reconnues, soit la méthode générale de comparaison des revenus (art. 28a al. 1 LAI en corrélation avec l'art. 16 LPGA), la méthode spécifique (art. 28a al. 2 LAI en corrélation avec les art. 27 du règlement sur l’assurance-invalidité [RAI – RS 831.201] et 8 al. 3 LPGA), ou la méthode mixte (art. 28a al. 3 LAI en corrélation avec l'art. 27bis RAI, ainsi que les art. 16 LPGA et 28a al. 2 LAI en corrélation avec les art. 27 RAI et 8 al. 3 LPGA) dépendra du statut du bénéficiaire potentiel de la rente : assuré exerçant une activité lucrative à temps complet, assuré non actif, assuré exerçant une activité lucrative à temps partiel (arrêt du Tribunal fédéral 9C_82/2016 du 9 juin 2016 consid. 3.2).</w:t>
      </w:r>
    </w:p>
    <w:p>
      <w:r>
        <w:t>A/1037/2020 - 14/17 - Lorsque l’assuré accomplit ses travaux habituels, il faut examiner, à la lumière de sa situation personnelle, familiale, sociale et professionnelle, s'il aurait consacré, étant valide, l'essentiel de son activité à son ménage ou s'il aurait également vaqué à une occupation lucrative. Pour déterminer, voire circonscrire le champ d'activité probable de l'assuré, il faut notamment tenir compte d'éléments tels que la situation financière du ménage, l'éducation des enfants, l'âge de l'assuré, ses qualifications professionnelles, sa formation ainsi que ses affinités et talents personnels. Selon la pratique, la question du statut doit être tranchée sur la base de l'évolution de la situation jusqu'au prononcé de la décision administrative litigieuse, encore que, pour admettre l'éventualité de l'exercice d'une activité lucrative partielle ou complète, il faut que la force probatoire reconnue habituellement en droit des assurances sociales atteigne le degré de la vraisemblance prépondérante (ATF 137 V 334 consid. 3 et les références). On rappellera encore que le choix de la méthode d'évaluation de l'invalidité est une question de droit. En revanche, la constatation du statut, c'est-à-dire le point de savoir si et dans quelle mesure l'assuré aurait exercé une activité lucrative, relève d'une question de fait (arrêt du Tribunal fédéral 9C_432/2016 du 10 février 2017 consid. 2.2 et les références). S’agissant de la méthode de comparaison des revenus, l’art. 16 LPGA prévoit que,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Il s'agit là de la méthode dite de comparaison des revenus, qu'il convient d'appliquer aux assurés exerçant une activité lucrative (ATF 128 V 29 consid. 1). Pour procéder à la comparaison des revenus, il convient en principe de se placer au moment de la naissance du droit à la rente (ATF 128 V 174 consid. 4a). Le revenu hypothétique de la personne valide (revenu sans invalidité au sens de l'art. 16 LPGA) se détermine en établissant au degré de la vraisemblance prépondérante ce qu'elle aurait effectivement pu réaliser au moment déterminant si elle était en bonne santé. Il doit être évalué de la manière la plus concrète possible; c'est pourquoi il se déduit en principe du salaire réalisé en dernier lieu par la personne assurée avant l'atteinte à la santé, en tenant compte de l'évolution des salaires jusqu'au moment de la naissance du droit à la rente (ATF 134 V 322 consid. 4.1 p. 325 ; ATF 129 V 222 consid. 4.3.1 p. 224 et les références). Toutefois, lorsque la perte de l'emploi est due à des motifs étrangers à l'invalidité, le salaire doit être établi sur la base de valeurs moyennes (arrêts du Tribunal fédéral 9C_247/2015 du 23 juin 2015 consid. 5.1 ; 9C_212/2015 du 9 juin 2015 consid. 5.4 et les arrêts cités ; cf. aussi arrêts 8C_728/2016 du 21 décembre 2016 consid. 3.1 et 9C_501/2013 du 28 novembre 2013 consid. 4.2). Autrement dit, n'est pas déterminant pour la fixation du revenu hypothétique de la personne valide le salaire que la personne assurée réaliserait actuellement auprès de son ancien employeur,</w:t>
      </w:r>
    </w:p>
    <w:p>
      <w:r>
        <w:t>A/1037/2020 - 15/17 - mais bien plutôt celui qu'elle réaliserait si elle n'était pas devenue invalide (arrêt du Tribunal fédéral 9C_394/2013 du 27 septembre 2013 consid. 3.3 et les références).</w:t>
      </w:r>
    </w:p>
    <w:p>
      <w:r>
        <w:rPr>
          <w:b/>
        </w:rPr>
        <w:t>E. 14</w:t>
      </w:r>
    </w:p>
    <w:p>
      <w:r>
        <w:t>En l’occurrence, l’intimé a évalué le degré d’invalidité selon la méthode mixte, en retenant un statut de personne active à temps partiel (parts consacrées à l’activité professionnelle de 60 % et aux activités ménagères de 40 %). Il s’est fondé en cela sur les déclarations du dernier employeur de la recourante selon lesquelles l’intéressée travaillait à raison de 25 heures par semaine. Il ressort toutefois du dossier, en particulier des déclarations de la recourante devant la chambre de céans et lors de l’enquête économique sur le ménage, que c’est en raison de difficultés liées au marché du travail que celle-ci n’a pas exercé d’emploi à plein temps avant son atteinte la santé, et non par choix. On peut donc se demander s’il convient de lui reconnaître un statut d’active à 100 %. La question du statut peut toutefois rester ouverte puisque, comme on le verra, même en se fondant sur un statut d’actif, le taux d’invalidité ne donnerait pas droit à une rente. S’agissant d’abord des conclusions de l’enquête ménagère, elles sont convaincantes et non contestées. Les déclarations de la recourante en audience, selon laquelle son époux l’aide dans les activités quotidiennes permettent en outre de valider l’exigibilité de 6.5 % retenue par l’enquêtrice. Il convient donc de s’en tenir aux empêchements ménagers attestés par ce document, lesquels s’élèvent à 0 % en tenant compte de l’aide exigible des proches. S’agissant ensuite de la sphère professionnelle, l’intimé a fixé le revenu sans invalidité de la recourante à CHF 23'885.- (correspondant à un taux de 60 %) sur la base du salaire horaire de CHF 21.18, tel que transmis par son ancien employeur, l’entreprise B______. Ce raisonnement ne prend cependant pas en considération le fait que la recourante a perdu son emploi pour des motifs étrangers à l’invalidité. La recourante percevait en effet des indemnités de l’assurance-chômage de 2004 à 2006, puis a effectué différents stages, avant d’exercer l’activité de femme de chambre pour l’entreprise B______ du 18 juillet 2017 au 31 août 2017 à raison de 25 heures par semaine. Entendue en audience, l’intéressée a précisé que son emploi avait pris fin car l’entreprise n’avait plus de travail à lui proposer. À la lecture du questionnaire pour l’employeur du 15 juin 2018, on constate du reste que l’employeur de l’assurée ne fait pas mention d’éventuels problèmes médicaux qui auraient motivé la fin des rapports de travail. La recourante n’a pas été en incapacité de travail durant la période d’emploi et l’employeur a résilié le contrat en raison d’une « période d’essai non concluante ». Dans ces circonstances, dans la mesure où la fin des rapports de travail n'était pas liée à une raison médicale et que la recourante n’a pas poursuivi cette activité à long terme, on ne peut admettre que la recourante aurait poursuivi son activité auprès du même employeur. Par conséquent, c'est à tort que l’intimé s’est fondé sur le revenu effectif perçu par la recourante du 18 juillet 2017 au 31 août 2017 plutôt que sur le salaire statistique pour fixer le revenu sans invalidité. Il convient donc de fixer le revenu sans</w:t>
      </w:r>
    </w:p>
    <w:p>
      <w:r>
        <w:t>A/1037/2020 - 16/17 - invalidité en fonction du revenu statistique qu’une femme peut tirer d’activités simples et répétitives, tous domaines confondus, niveau de compétence 1. Quant au salaire d’invalide, vu l’activité de substitution exigible de la recourante dans un emploi adapté, le salaire de référence est celui auquel peuvent prétendre les femmes effectuant des activités simples et répétitives (niveau 1). Il s’agit donc du même salaire statistique que pour le revenu sans invalidité, dès lors que la recourante possède une capacité de travail dans un emploi, tel que le métier de caissière ou tout autre métier ne nécessitant pas de formation spécifique, et qui soit simple et répétitif. Lorsque comme en l’espèce, les revenus avec et sans invalidité sont basés sur les mêmes données statistiques, il est superflu de les chiffrer avec exactitude, dès lors que le degré d'invalidité se confond avec celui de l'incapacité de travail, sous réserve d'une éventuelle réduction du revenu d'invalide (arrêt du Tribunal fédéral 9C_260/2013 du 9 août 2013 consid. 4.2 ; arrêts du Tribunal fédéral des assurances I 151/06 du 29 juin 2007 consid. 7.2.1 et I 418/03 du 23 septembre 2003 consid. 6.1). Il s’ensuit que la recourante ne subit aucune perte de gain dans une activité adaptée à ses limitations fonctionnelles. Cette conclusion s’impose aussi bien dans l’hypothèse du statut mixte que dans celle du statut de personne active. On relèvera que, dans les deux cas de figure, la question de savoir s'il y a lieu d’accorder un abattement supérieur aux 10 % retenus sur le revenu statistique d'invalide peut rester indécise, étant souligné qu'une éventuelle majoration de la réduction accordée (qui ne saurait de toute manière pas excéder 25 % ; ATF 126 V 75 consid. 5b/aa-cc) ne saurait suffire à lui ouvrir un droit à une rente minimale.</w:t>
      </w:r>
    </w:p>
    <w:p>
      <w:r>
        <w:rPr>
          <w:b/>
        </w:rPr>
        <w:t>E. 15</w:t>
      </w:r>
    </w:p>
    <w:p>
      <w:r>
        <w:t>Eu égard à ce qui précède, le recours sera rejeté. La recourante, qui succombe, n’a pas droit à des dépens (art. 61 let. g LPGA). Elle sera en outre condamnée au paiement d’un émolument de CHF 200.- (art. 69 al. 1bis LAI). * * * * * *</w:t>
      </w:r>
    </w:p>
    <w:p>
      <w:r>
        <w:t>A/1037/2020 - 17/17 -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