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ATAS/489/2020 vom 18. Juni 2020</w:t>
      </w:r>
    </w:p>
    <w:p>
      <w:r>
        <w:t>GE Cour de justice, 2020-06-18, FR</w:t>
      </w:r>
    </w:p>
    <w:p>
      <w:r>
        <w:rPr>
          <w:b/>
        </w:rPr>
        <w:t xml:space="preserve">Quelle: </w:t>
      </w:r>
      <w:r>
        <w:t>https://mcp.opencaselaw.ch/entscheid/ge_gerichte_ATAS_489_2020</w:t>
      </w:r>
    </w:p>
    <w:p>
      <w:r>
        <w:t>FR: GE_GERICHTE ATAS/489/2020 du 18 juin 2020</w:t>
      </w:r>
    </w:p>
    <w:p>
      <w:r>
        <w:t>IT: GE_GERICHTE ATAS/489/2020 del 18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w:t>
      </w:r>
    </w:p>
    <w:p>
      <w:r>
        <w:t>A/569/2019 - 11/17 - En l’espèce, au vu de la décision attaquée et des conclusions du recours, le litige porte sur le droit de la recourante à un quart de rente d’invalidité. Il s’agit plus particulièrement de déterminer si une aide de l’époux est exigible dans la mesure retenue par l’administration (29.5%) pour déterminer le taux d'invalidité de l’assurée dans la sphère ménagère.</w:t>
      </w:r>
    </w:p>
    <w:p>
      <w:r>
        <w:rPr>
          <w:b/>
        </w:rPr>
        <w:t>E. 5</w:t>
      </w:r>
    </w:p>
    <w:p>
      <w:r>
        <w:t>L’assuré a droit à une rente lorsqu’il a présenté une incapacité de travail (art.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w:t>
      </w:r>
    </w:p>
    <w:p>
      <w:r>
        <w:t>A/569/2019 - 12/17 - dans une activité lucrative par comparaison des revenus (art. 28a al. 3 LAI en corrélation avec l'art. 16 LPGA); on pourra alors apprécier l'invalidité globale d'après le temps consacré à ces deux champs d'activité (ATF 130 V 393 consid. 3.3 et ATF 104 V 136 consid. 2a). b.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c. Chez les assurés travaillant dans le ménage, le degré d'invalidité se détermine, en règle générale, au moyen d'une enquête économique sur place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d. Par modification du 1er décembre 2017, entrée en vigueur le 1er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Comme le Conseil fédéral l’a expliqué dans son communiqué de presse et son rapport explicatif du 1er décembre 2017 (accessible sur internet à l’adresse https://www.bsv.admin.ch/bsv/fr/home/publications-et-services), le nouveau mode de calcul accorde un poids égal aux conséquences d’une atteinte à la santé sur l’exercice d’une activité lucrative et sur l’accomplissement des travaux habituels ;</w:t>
      </w:r>
    </w:p>
    <w:p>
      <w:r>
        <w:t>A/569/2019 - 13/17 - dans le domaine professionnel, la détermination du taux d’invalidité se base sur l’hypothèse d’une activité lucrative exercée à plein temps ; de même, en ce qui concerne les travaux habituels, le calcul est aussi effectué comme si la personne s’y consacrait à plein temps ; les tâches ménagères et familiales sont ainsi mieux prises en compte.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la décision du 7 janvier 2019, fondée sur la méthode mixte d’évaluation de l’invalidité, retient une clé de répartition de 35%-65% entre les sphères professionnelle et ménagère, ce que la recourante ne conteste pas. Dans la sphère professionnelle, la décision litigieuse stipule que l’assurée est totalement incapable d’exercer la moindre activité depuis le 2 février 2017, ce dont il résulte une perte de gain de 100% ; ce point étant également incontesté par la recourante, il n’y a pas lieu de l’examiner plus avant. S’agissant de la sphère ménagère – qui est seule litigieuse – la décision retient, sur la base de l’enquête économique du 28 août 2018, que l’assurée présente des empêchements ménagers de 0%, en tenant compte d’une aide exigible de son époux de 29.5 %. Dans son recours, l’assurée ne remet pas en question les empêchements constatés par l’enquêtrice dans les différents champs d’activité. Elle conteste en revanche le taux de 29.5% qu’a retenu l’intimé à titre de participation de son époux aux tâches ménagère, dont elle estime qu’il ne devrait pas dépasser 15%, dans la mesure où son mari travaille à 100% et souffre de tendinite au niveau des épaules. À son sens, on ne saurait exiger de son conjoint qu’il se consacre aux tâches ménagères une dizaine d’heures par semaine.</w:t>
      </w:r>
    </w:p>
    <w:p>
      <w:r>
        <w:rPr>
          <w:b/>
        </w:rPr>
        <w:t>E. 10</w:t>
      </w:r>
    </w:p>
    <w:p>
      <w:r>
        <w:t>a. En premier lieu, la chambre de céans constate que le rapport d’enquête, élaboré par une infirmière qualifiée en connaissance de la situation médicale et locale, tient compte des indications de l’assurée, qui sont relatées en détails et dont on peut considérer – faute d’indice contraire – qu’elles sont fidèlement retranscrites. Par ailleurs, ses conclusions quant aux empêchements dans les différents champs d’activité et à l’aide exigible des proches sont dûment motivées : les activités que la recourante peut effectuer seule ou délègue au contraire à ses proches sont décrites avec précision, tout comme les solutions trouvées au sein de la famille pour suppléer à ses empêchements. Le rapport d’enquête satisfait donc aux réquisits jurisprudentiels permettant de lui reconnaître une pleine valeur probante.</w:t>
      </w:r>
    </w:p>
    <w:p>
      <w:r>
        <w:t>A/569/2019 - 14/17 - b. En ce qui concerne ensuite la prise en compte de l'aide des membres de la famille (obligation de diminuer le dommage) dans l’évaluation de l'empêchement dans le ménage dû à l'invalidité, la jurisprudence prescrit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Il faut en effet se demander quelle attitude une famille raisonnable adopterait, dans la même situation et les mêmes circonstances, si elle devait s’attendre à ne recevoir aucune prestation d’assurance (arrêt du Tribunal fédéral des assurances I 257/04 du 17 mars 2005 consid. 5.4.4). On ne saurait toutefois attendre d’un assuré qu’il ait recours à l’aide de ses enfants en les pénalisant dans une mesure déraisonnable dans l’exercice de leur activité professionnelle et dans leur vie privée ou qu’il fasse appel à l’aide de son conjoint lorsque celui-ci souffre de troubles fondant l’octroi d’une rente entière d’invalidité (arrêt du Tribunal fédéral des assurances I 794/04 du 1er mai 2006 consid. 6.4). c. En l’occurrence, il résulte de l’enquête ménagère et des précisions données par les parties en audience qu’en raison de ses problèmes de genoux, de dos et d’épaules, l’assurée a besoin d’aide pour les différentes tâches ménagères nécessitant de se baisser ou de travailler avec les bras au-dessus de l’horizontale (notamment nettoyer la baignoire et faire les placards « du haut » et ceux « du bas »). Sa fille, qui n’habite plus sous le même toit, effectue certaines tâches qu’elle ne peut plus réaliser elle-même, notamment une partie du repassage, la poussière et le nettoyage du sol. Elle aide également sa mère à passer l’aspirateur. Par ailleurs, l’assurée sollicite l’aide de son mari pour nettoyer les vitres et effectuer les grands nettoyages. En outre, son époux l’aide à faire les courses et il passe occasionnellement l’aspirateur. Pour le reste, il ressort de l’enquête que l’assurée demeure capable d’effectuer sinon l’essentiel, à tout le moins une partie des tâches ménagères, petit à petit et de manière fractionnée. Elle reste notamment en mesure de préparer les repas, de nettoyer la cuisine ainsi que la salle de bains, de faire des rangements, de faire des courses légères (emplettes), de faire les lits, de passer la serpillère, etc. Il ressort de ce qui précède qu'en définitive et conformément à la jurisprudence précédemment citée au sujet de l'obligation de réduire le dommage, l'époux fournit dans les faits, et comme cela est exigible de sa part, une contribution à l'accomplissement des tâches ménagères que son épouse ne peut plus réaliser – ou du moins plus réaliser seule –, à l’instar des courses, des vitres, de l’aspirateur et des grands nettoyages, par exemple. Quoi qu’en dise la recourante, aucun élément</w:t>
      </w:r>
    </w:p>
    <w:p>
      <w:r>
        <w:t>A/569/2019 - 15/17 - au dossier ne permet de conclure que les efforts déployés par son époux dans ce cadre seraient au-dessus de ses forces. En particulier, l’attestation établie en février 2019 par le Dr H______ (« […] il est difficile de demander à ce patient après une journée de travail qu’il s’occupe des tâches ménagères »), dont la formulation est au demeurant très mesurée, ne permet pas de tirer de conclusion en ce sens, car ce médecin ne conteste pas, en définitive, que son patient soit capable de participer aux travaux ménagers, comme cela ressort de ses déclarations en audience. D’ailleurs, le mari de la recourante ne se prétend pas lui-même incapable de contribuer aux tâches ménagères et semble plutôt concéder qu’il pourrait en faire plus (« […] je mets la table et j'enlève les assiettes. Ce n'est pas grand-chose. Très exceptionnellement, il m'arrive de passer l'aspirateur. […] il est vrai que je ne passe pas beaucoup de temps à aider [mon épouse] à la maison », cf. procès-verbal d’audience du 30 janvier 2020, p. 2). Contrairement à ce que soutient la recourante, l’office intimé n’a retenu aucune exigibilité à charge de sa fille J______, puisque celle-ci ne vit plus sous le même toit. L’enquêtrice a certes mentionné l’aide que fournit J______ dans les faits – puisque celle-ci continue de façon louable à donner des coups de main à sa mère –, mais ce faisant, l’enquêtrice s’est limitée à retranscrire les propos de l’assurée et donc à décrire la situation effective. L’enquêtrice n’a pas indiqué qu’une aide était exigible de J______ et du reste, elle n’a mentionné que le mari sous le champ « commentaire sur l’exigibilité retenue » du formulaire officiel d’enquête. L’office a considéré qu’une contribution de 29.5% aux tâches ménagères était exigible du mari, ce que la recourante conteste. Toutefois, en partant du principe que l'activité de la recourante dans le ménage représente environ 28 heures par semaine (soit [35 % × 43 heures] = 15 heures ; 43 heures - 15 heures = 28 heures), un total de 8.26 heures par semaine (29.5 % x 28 heures) ou 70 minutes par jour (8.26 / 7 jours = 1.18 heure = 70 minutes) à charge de son mari ne paraît pas excéder ce qui peut être raisonnablement exigé des membres de la famille dans le cadre de l'obligation de diminuer le dommage, quand bien même son époux travaille à plein temps. Au demeurant, l’exercice d’une activité à plein temps n’empêche pas l’époux de trouver le temps nécessaire pour faire du jardinage, comme cela ressort de l’enquête, temps qu’il pourrait aussi bien consacrer aux activités ménagères. Enfin, il convient de relever que dans un arrêt récent – lequel concernait également un ménage constitué de deux personnes adultes – le Tribunal fédéral a confirmé la prise en compte d'une aide de 27.6 % à charge d’un conjoint exerçant une activité indépendante à plein temps (arrêt du Tribunal fédéral 9C_65/2020 du 29 avril 2020 consid. 5, confirmant un arrêt de la CJCAS ATAS/1131/2019 du 9 décembre 2019). En conséquence, même si ce taux pouvait paraître relativement élevé de prime abord, l’office intimé était fondé à tenir compte d’une aide exigible du mari de la recourante de 29.5% dans l'accomplissement des tâches ménagères.</w:t>
      </w:r>
    </w:p>
    <w:p>
      <w:r>
        <w:t>A/569/2019 - 16/17 - d. En définitive, faute d’inexactitudes ou d’omissions dûment établies, il y a lieu de s'en tenir au rapport d’enquête, dont il résulte des empêchements nuls (0%) dans la sphère ménagère, après prise en compte de l’aide exigible de l’époux de l’assurée.</w:t>
      </w:r>
    </w:p>
    <w:p>
      <w:r>
        <w:rPr>
          <w:b/>
        </w:rPr>
        <w:t>E. 11</w:t>
      </w:r>
    </w:p>
    <w:p>
      <w:r>
        <w:t>Dans la sphère professionnelle, la décision attaquée retient que la recourante ne peut plus exercer la moindre activité, ce dont il résulte une perte de gain de 100%. Dans la sphère ménagère, il ressort de l’enquête du 28 août 2018 des empêchements de 0%. Le degré d’invalidité global, tenant compte des sphères professionnelle et ménagère, s’élève à 35% [(35% x 100%) + (65% x 0%)]. Inférieur à 40%, ce taux n’ouvre pas droit au versement d’une rente d’invalidité (art. 28 al. 1 LAI).</w:t>
      </w:r>
    </w:p>
    <w:p>
      <w:r>
        <w:rPr>
          <w:b/>
        </w:rPr>
        <w:t>E. 12</w:t>
      </w:r>
    </w:p>
    <w:p>
      <w:r>
        <w:t>En dernier lieu, on relèvera que la situation pourrait s’être légèrement modifiée postérieurement au 28 août 2018, date de l’enquête ménagère, dans la mesure où l’assurée avait initialement déclaré lors de l’enquête qu’elle gardait sa petite-fille tous les mercredis après-midi, avant d’exposer, lors de l’audience du 30 janvier 2020, qu’elle avait cessé de garder sa petite-fille « depuis que ses douleurs étaient plus aigües […] ». Toutefois, cette évolution est sans incidence sur le degré d’invalidité et donc sur le droit à la rente. En effet, même si l’on voulait diminuer la pondération du champ d'activité « soins et assistance aux enfants et aux proches » (point 5.5) de 5% à 0% et augmenter (de 5%) la pondération de l’un des quatre autres champs d’activités, pour tenir compte du fait que la recourante ne garde plus sa petite fille, le taux d’invalidité dans la sphère ménagère resterait globalement nul, puisque qu’il ressort de l’enquête que dans tous les champs d’activité, les empêchements subis par l’assurée sont entièrement compensés par l’aide exigible du mari. Autrement dit, compte tenu de l’aide pouvant être exigée de la part de l’intéressé, le taux d’invalidité dans la sphère ménagère reste nul, quelle que soit la façon dont on pondère les différents champs d’activité.</w:t>
      </w:r>
    </w:p>
    <w:p>
      <w:r>
        <w:rPr>
          <w:b/>
        </w:rPr>
        <w:t>E. 13</w:t>
      </w:r>
    </w:p>
    <w:p>
      <w:r>
        <w:t>Au vu de ce qui précède, la décision attaquée est conforme au droit et la chambre de céans ne peut que rejeter le recours.</w:t>
      </w:r>
    </w:p>
    <w:p>
      <w:r>
        <w:rPr>
          <w:b/>
        </w:rPr>
        <w:t>E. 14</w:t>
      </w:r>
    </w:p>
    <w:p>
      <w:r>
        <w:t>La procédure de recours en matière de contestation portant sur l’octroi ou le refus de prestations de l’assurance-invalidité étant soumise à des frais de justice, la recourante sera condamné au paiement d’un émolument, arrêté au montant minimal de CHF 200.- (art. 69 al. 1 bis LAI). Vu l’issue donnée au recours, la recourante ne peut prétendre à l’octroi d’une indemnité de procédure (art. 61 let. g LPGA).</w:t>
      </w:r>
    </w:p>
    <w:p>
      <w:r>
        <w:t>A/569/2019 - 17/17 -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