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ATAS/489/2016 vom 16. Juni 2016</w:t>
      </w:r>
    </w:p>
    <w:p>
      <w:r>
        <w:t>GE Cour de justice, 2016-06-16, FR</w:t>
      </w:r>
    </w:p>
    <w:p>
      <w:r>
        <w:rPr>
          <w:b/>
        </w:rPr>
        <w:t xml:space="preserve">Quelle: </w:t>
      </w:r>
      <w:r>
        <w:t>https://mcp.opencaselaw.ch/entscheid/ge_gerichte_ATAS_489_2016</w:t>
      </w:r>
    </w:p>
    <w:p>
      <w:r>
        <w:t>FR: GE_GERICHTE ATAS/489/2016 du 16 juin 2016</w:t>
      </w:r>
    </w:p>
    <w:p>
      <w:r>
        <w:t>IT: GE_GERICHTE ATAS/489/2016 del 16 giugno 2016</w:t>
      </w:r>
    </w:p>
    <w:p>
      <w:pPr>
        <w:pStyle w:val="Heading2"/>
      </w:pPr>
      <w:r>
        <w:t>Erwägungen</w:t>
      </w:r>
    </w:p>
    <w:p>
      <w:r>
        <w:rPr>
          <w:b/>
        </w:rPr>
        <w:t>E. 1</w:t>
      </w:r>
    </w:p>
    <w:p>
      <w:r>
        <w:t>Conformément à l'art. 134 al. 1 let. a ch. 5 de la loi sur l'organisation judiciaire du 26 septembre 2010 (LOJ - E 2 05), en vigueur depuis le 1er janvier 2011, la chambre des assurances sociales de la Cour de justice connaît en instance unique</w:t>
      </w:r>
    </w:p>
    <w:p>
      <w:r>
        <w:t>A/3246/2015 - 10/17 -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LAA n'y déroge expressément.</w:t>
      </w:r>
    </w:p>
    <w:p>
      <w:r>
        <w:rPr>
          <w:b/>
        </w:rPr>
        <w:t>E. 3</w:t>
      </w:r>
    </w:p>
    <w:p>
      <w:r>
        <w:t>a. Selon l’art. 52 al. 1 LPGA, les décisions peuvent être attaquées dans les trente jours par voie d'opposition auprès de l'assureur qui les a rendues, à l'exception des décisions d'ordonnancement de la procédure. Ces dernières visent les décisions incidentes que le législateur a soustraites à la procédure d'opposition, afin d'éviter des retards excessifs dans le déroulement de la procédure (ATF 131 V 42 consid. 2.1). Les décisions préjudicielles et incidentes désignent toutes les décisions qui ne mettent pas un terme à la procédure et qui ne sont dès lors ni des décisions finales, ni des décisions partielles (ATF 133 V 477 consid. 4.1.3). Selon l’art. 92 de la loi sur le Tribunal fédéral (LTF ; RS 173.110), les décisions préjudicielles et incidentes qui sont notifiées séparément et qui portent sur la compétence ou sur une demande de récusation peuvent faire l'objet d'un recours (al. 1). Ces décisions ne peuvent plus être attaquées ultérieurement (al. 2). Les art. 45 et 46 de la loi sur la procédure administrative du 20 décembre 1968 (PA ; RS 172.021) prévoient les mêmes conditions de recours s’agissant des décisions administratives. Sur le plan cantonal, l’art. 57 de la loi sur la procédure administrative du 12 septembre 1985 (LPA - E 5 10) dispose que sont susceptibles d’un recours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b. Interjeté dans les forme et délai prévus aux art. 56 et suivants LPGA, le recours du 18 septembre 2015, contre la décision incidente de l'intimée du 18 août 2015, portant sur la mise en œuvre d'une expertise, est recevable.</w:t>
      </w:r>
    </w:p>
    <w:p>
      <w:r>
        <w:rPr>
          <w:b/>
        </w:rPr>
        <w:t>E. 4</w:t>
      </w:r>
    </w:p>
    <w:p>
      <w:r>
        <w:t>Le litige porte sur le bien-fondé de la décision de l'intimée de soumettre le recourant à une seconde expertise médicale, en la forme d'une évaluation pluridisciplinaire de ses capacités fonctionnelles auprès d'une clinique de réadaptation.</w:t>
      </w:r>
    </w:p>
    <w:p>
      <w:r>
        <w:rPr>
          <w:b/>
        </w:rPr>
        <w:t>E. 5</w:t>
      </w:r>
    </w:p>
    <w:p>
      <w:r>
        <w:t>A teneur de l'art. 43 LPGA, l'assureur prend d'office les mesures d'instruction nécessaires et recueille les renseignements dont il a besoin (al. 1). L'assuré doit se soumettre à des examens médicaux ou techniques si ceux-ci sont nécessaires à l'appréciation du cas et qu'ils peuvent être raisonnablement exigés (al. 2). Le devoir d'instruction s'étend jusqu'à ce que les faits nécessaires à l'examen des prétentions en cause soient suffisamment élucidés (arrêt 8C_364/2007 du</w:t>
      </w:r>
    </w:p>
    <w:p>
      <w:r>
        <w:t>A/3246/2015 - 11/17 - 19 novembre 2007 consid. 3.2). Dans la conduite de la procédure, l'assureur dispose d'un large pouvoir d'appréciation en ce qui concerne la nécessité, l'étendue et l'adéquation de recueillir des données médicales (arrêt du Tribunal fédéral 8C_667/2012 du 12 juin 2013 consid. 4.1). Cela étant, le devoir de prendre d'office les mesures d'instruction nécessaires à l'appréciation du cas au sens de l'art. 43 al. 1 LPGA ne comprend pas le droit de l'assureur de recueillir un second avis médical (« second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(arrêt du Tribunal fédéral 8C_667/2012 du 12 juin 2013 consid. 4.2). La nécessité de mettre sur pied une nouvelle expertise découle ainsi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(arrêts du Tribunal fédéral 9C_1012/2008 du 30 juin 2009 consid. 3.2.2 ; U 571/06 du 29 mai 2007 consid. 4). Dans le domaine des assurances sociales, la tâche de l’expert consiste avant tout à porter un jugement sur l’état de santé de l’expertisé et à indiquer dans quelle mesure et pour quelles activités l’assuré est incapable de travailler (ATF 136 III 161 consid. 3.4.2). En particulier,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Toutefois, l'administration doit se laisser guider par les principes de l'état de droit, tels les devoirs d'objectivité et d'impartialité et le principe de l'administration rationnelle (arrêt du Tribunal fédéral 9C_1012/2008 du 30 juin 2009 consid. 3.2.1 et les références citées). Ainsi notamment, avant de se déterminer en faveur d'une nouvelle (deuxième) expertise médicale, l'administration doit tout d'abord examiner, si un complément d'instruction moins onéreux, pourrait satisfaire l'exigence d'une constatation des faits suffisante, avant d'avoir recours, de facto, à une nouvelle expertise médicale (voir arrêt du Tribunal administratif fédéral C- 504/2011 consid. 2).</w:t>
      </w:r>
    </w:p>
    <w:p>
      <w:r>
        <w:t>A/3246/2015 - 12/17 -</w:t>
      </w:r>
    </w:p>
    <w:p>
      <w:r>
        <w:rPr>
          <w:b/>
        </w:rPr>
        <w:t>E. 6</w:t>
      </w:r>
    </w:p>
    <w:p>
      <w:r>
        <w:t>a. Selon l’art. 44 LPGA, si l'assureur doit recourir aux services d'un expert indépendant pour élucider les faits, il donne connaissance du nom de celui-ci aux parties. Celles-ci peuvent récuser l'expert pour des raisons pertinentes et présenter des contre-propositions. L'art. 36 LPGA, concernant plus particulièrement la récusation, dispose que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S'il s'agit de la récusation d'un membre d'un collège, la décision est rendue par le collège en l'absence de ce membre (al. 2). Selon la jurisprudence relative aux art. 29 al. 1 Cst., 30 al. 1 Cst. et 6 par. 1 de la Convention européenne des droits de l’homme,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Les motifs de refus et de récusation pour les experts sont en règle générale les mêmes que pour les juges (ATF 132 V 93 consid. 7.1).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(arrêt du Tribunal fédéral 9C_689/2012 du 6 juin 2013 consid. 2.2). Compte tenu de l’importance que revêt une expertise médicale dans le domaine des assurances sociales, il y a lieu de poser des exigences sévères quant à l’impartialité d’un expert (ATF 120 V 357 consid. 3b).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(arrêt du Tribunal fédéral 9C_180/2013 du 31 décembre 2013 consid. 2.2). De jurisprudence constante, le fait qu'un expert, médecin indépendant, ou une institution d'expertises sont régulièrement mandatés par un organe de l'assurance sociale, le nombre d'expertises ou de rapports confiés à l'expert, ainsi que l'étendue des honoraires en résultant ne constituent effectivement pas à eux seuls des motifs suffisants pour conclure au manque d'objectivité et à la partialité de l'expert (arrêt du Tribunal fédéral 9C_366/2013 du 2 décembre 2013 consid. 5.3).</w:t>
      </w:r>
    </w:p>
    <w:p>
      <w:r>
        <w:t>A/3246/2015 - 13/17 - b. En matière de récusation, il convient toutefois de distinguer entre les motifs formels et les motifs matériels. Les motifs de récusation qui sont énoncés dans la loi (cf. art. 10 PA et 36 al. 1er LPGA) sont de nature formelle parce qu’ils sont propres à éveiller la méfiance à l’égard de l’impartialité de l’expert. Les motifs de nature matérielle, qui peuvent également être dirigés contre la personne de l’expert, ne mettent en revanche pas en cause son impartialité. Le Tribunal a également jugé que les motifs dirigés contre l'expertise elle-même, par exemple parce qu'il s'agit d'une « second opinion », ou le type et l'étendue de l'expertise, par exemple concernant le choix des disciplines, étaient de nature matérielle (arrêt du Tribunal fédéral 8C_510/2013 du 10 février 2014 consid. 2.1). On rappellera que, dans l’ATF 137 V 210, le Tribunal fédéral a retenu qu'à défaut d’entente sur les spécialistes à retenir ou les modalités de l’expertise, l’autorité doit alors rendre une décision incidente sujette à recours auprès de la première instance judiciaire et que cette nouvelle voie de droit permet à l’assuré de soulever, avant même que l’administration se prononce sur le fond, des contestations d’ordre matériel telles que par exemple le grief que l’expertise prévue n’est pas nécessaire, dès lors que – vu l’état des faits suffisamment éclaircis – elle revient à une simple « second opinion » qui, de jurisprudence constante, ne saurait être admise. En outre, comme auparavant, l’intéressé peut mettre en avant des motifs formels de récusation liés à la personne de l’expert (ATF 137 V 210 consid. 3.4.2.5 ss et les références citées).</w:t>
      </w:r>
    </w:p>
    <w:p>
      <w:r>
        <w:rPr>
          <w:b/>
        </w:rPr>
        <w:t>E. 7</w:t>
      </w:r>
    </w:p>
    <w:p>
      <w:r>
        <w:t>Dans un arrêt de principe du 28 juin 2011, portant notamment sur les droits de participation des assurés lors de la désignation d’un expert par l'assurance- invalidité, le Tribunal fédéral a admis que, selon une interprétation conforme à la Constitution (Cst – RS 101) et à la Convention de sauvegarde des droits de l'homme et des libertés fondamentales (CEDH – RS 0.101) de la notion de préjudice irréparable en tant que condition de recevabilité d'un recours, cette condition était réalisée s’agissant d’une décision incidente portant sur une expertise (ATF 137 V 210 consid. 3.4.2.7). Le Tribunal fédéral a en effet retenu qu'il était nécessaire de renforcer les droits de participation des assurés lors de la mise sur pied d'expertises par les organes des assurances sociales et que cette nouvelle voie de droit devait permettre à l'assuré de soulever, avant même qu'un tel organe se prononce sur le fond, des contestations d'ordre matériel, outre des motifs de récusation formels (ATF 137 V 2010 consid. 3.4.2.5 ss et les références citées). Dans un arrêt subséquent du 13 août 2012, le Tribunal fédéral a en particulier précisé que, dans le domaine de l'assurance-accidents également (changement de la jurisprudence développée dans l'arrêt 132 V 93), il faut ordonner une expertise en cas de désaccord par le biais d'une décision incidente sujette à recours auprès du tribunal cantonal des assurances (respectivement du Tribunal administratif fédéral), et la personne assurée bénéficie des droits de participation antérieurs en ce sens qu'elle peut s'exprimer sur les questions posées à l'expert. Les modalités à respecter</w:t>
      </w:r>
    </w:p>
    <w:p>
      <w:r>
        <w:t>A/3246/2015 - 14/17 - se déterminent selon l'arrêt 137 V 2010 consid. 3.4.2.9 p. 258 appliqué par analogie (ATF 138 V 318 consid. 6.1).</w:t>
      </w:r>
    </w:p>
    <w:p>
      <w:r>
        <w:rPr>
          <w:b/>
        </w:rPr>
        <w:t>E. 8</w:t>
      </w:r>
    </w:p>
    <w:p>
      <w:r>
        <w:t>En l'espèce, dans le cadre de son instruction, l'intimée a mis en œuvre une première expertise médicale auprès du Dr F______, à laquelle le recourant s'est soumis. L'expert a ainsi rendu un rapport daté du 18 mars 2013, ainsi que deux compléments, les 6 juin 2013 et 5 juin 2014. Dans la décision litigieuse, l’intimée ordonne la réalisation d'une seconde expertise médicale, en la forme d'une évaluation pluridisciplinaire des capacités fonctionnelles du recourant auprès d'une clinique de réadaptation, ce qu'elle estime être la mesure la plus adéquate pour évaluer sa capacité de travail résiduelle dans une activité adaptée. Le recourant conteste, d’une part, la nécessité de diligenter une seconde expertise portant sur des questions identiques à la première, jugeant l’expertise réalisée par le Dr F______ probante. D’autre part, il émet des doutes quant à l’impartialité de l’expert et de la clinique choisis. Ce faisant, le recourant se prévaut de motifs tant formels que matériels pour s’opposer à l’expertise ordonnée par l’intimée.</w:t>
      </w:r>
    </w:p>
    <w:p>
      <w:r>
        <w:rPr>
          <w:b/>
        </w:rPr>
        <w:t>E. 9</w:t>
      </w:r>
    </w:p>
    <w:p>
      <w:r>
        <w:t>D'un point de vue matériel, il convient d'examiner si, comme le soutient le recourant, l'expertise menée par le Dr F______ est suffisante, de sorte qu'un second examen ne serait pas nécessaire et se révèlerait être uniquement une "second opinion". L'intimée le conteste et argue que la mesure d'instruction litigieuse se justifie essentiellement par le fait que l'évaluation de la capacité de travail du recourant dans une activité adaptée n'est pas claire. Elle relève en particulier que les mesures de réadaptation mises en œuvre par l'OAI ont échoué, alors que le Dr F______ lui- même avait jugé le recourant apte à les suivre. Sans préjuger de la valeur probante de l'ensemble de l'expertise du Dr F______ - que l'intimée n'a du reste pas expressément niée -, la Cour de céans observe que, dans son rapport du 18 mars 2013, l'expert fait état de limitations fonctionnelles, en raison des douleurs occasionnées par les mouvements de l'épaule lésée, lors d'amplitudes extrêmes, de répétitions et d'usage de la force. De ce fait, dans son complément du 6 juin 2013, il retient une incapacité de travail totale dans les activités sollicitant l'usage de cette épaule, soit, en particulier, dans les domaines du transport de personnes ou de chauffeur livreur, selon son second complément du 5 juin 2014. Or, il ressort du dossier produit par l'OAI que le recourant a obtenu un permis de chauffeur de taxi le 15 novembre 2012 et a été mis au bénéfice d'un placement à l'essai en cette qualité auprès d'une société de taxi par ledit office, du 1er février au 30 juillet 2014. Il a débuté cette activité à plein temps, avant de devoir abaisser son</w:t>
      </w:r>
    </w:p>
    <w:p>
      <w:r>
        <w:t>A/3246/2015 - 15/17 - taux d'activité à 50% en juin 2014, voire à 40% selon ses déclarations au Dr D______. Ces éléments de fait entrent manifestement en contradiction avec l'appréciation de la capacité résiduelle de travail à laquelle s’était livré le Dr F______, puisque, contrairement à ce que ce dernier indiquait, l’assuré est capable d’exercer la profession de chauffeur à mi-temps et l’a même exercée à plein temps durant quelques mois. Cela vient appuyer la thèse défendue par l’intimée que la question de la capacité de travail résiduelle du recourant n'a pas été suffisamment élucidée et qu'il existe bel et bien un doute sur ses capacités fonctionnelles réelles, qu’une observation plus approfondie qu’en cabinet permettra d’éclaircir. Comme l'explique l'intimée, une évaluation à la CRR se fait sur plusieurs jours et en ateliers professionnels, ce qui permet d’observer l’assuré en situation réelle et de mesurer concrètement la nature et l’ampleur des atteintes fonctionnelles consécutives aux séquelles accidentelles. De plus, l’équipe chargée de l’évaluation est composée d’un médecin, d’un physiothérapeute, d’un ergothérapeute et d’un maître socio- professionnel. En ce sens, une évaluation pluridisciplinaire des capacités fonctionnelles du recourant auprès d'une clinique de réadaptation apparaît bien plutôt comme un examen plus poussé des capacités fonctionnelles du recourant, en situation, qu'une véritable « second opinion ». D'ailleurs, l'intimée a proposé de limiter la mission d'expertise aux cinq premières questions du questionnaire établi le 14 juillet 2015, c'est-à-dire celles portant principalement sur la capacité de travail dans l'activité de chauffeur ou toute autre recommandée, ce dont il convient de lui donner acte. Peu importe que l'intimée ait envisagé, dans un premier temps, de mandater un autre expert en cabinet ou non, dès lors qu’en définitive, il apparaît que la mesure préconisée apparaît bel et bien justifiée.</w:t>
      </w:r>
    </w:p>
    <w:p>
      <w:r>
        <w:rPr>
          <w:b/>
        </w:rPr>
        <w:t>E. 10</w:t>
      </w:r>
    </w:p>
    <w:p>
      <w:r>
        <w:t>Reste à examiner, sur le plan formel, s’il existe des motifs de récusation justifiés. Le recourant se prévaut uniquement de l'existence de liens financiers entre l'intimée, le Dr I______ et la CRR. On rappellera que, de jurisprudence constante, le fait qu'un expert, un médecin indépendant, ou une institution d'expertises soient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(arrêt du Tribunal fédéral 9C_366/2013 du 2 décembre 2013 consid. 5.3). Par conséquent, force est de constater qu'il n'existe aucun indice objectif suffisant de prévention vis-à-vis du Dr I______ et de la CRR et que le grief de déni de justice formel et de violation du droit d'être entendu invoqué par le recourant, en raison du défaut de transmission par l'intimée du montant des honoraires versés à cet expert et cette clinique, tombe à faux.</w:t>
      </w:r>
    </w:p>
    <w:p>
      <w:r>
        <w:t>A/3246/2015 - 16/17 - Par ailleurs, le recourant n'émet aucune critique sur la personne même du Dr I______ ou ses compétences professionnelles. Par conséquent, aucun motif ne s'oppose à ce que l'expertise nécessitée soit confiée à la CRR, sous la responsabilité des Drs I______ et L______. A cet égard, la chambre de céans rejoint l'intimée sur le fait que, dans son courrier du 19 février 2016, le Dr I______ ne refuse pas catégoriquement le mandat d'expertise. Cela étant, si tel devait être le cas, rien ne s’opposerait alors à la désignation de la clinique de réadaptation de Bellikon, contre laquelle le recourant n’invoque pas de motif de récusation valable, se bornant à solliciter que le complément requis soit confié au Dr F______. En un tel cas, il appartiendra toutefois à l’intimée d’informer le recourant des médecins et experts qui interviendraient concrètement et de lui donner la possibilité de s'exprimer sur ce point.</w:t>
      </w:r>
    </w:p>
    <w:p>
      <w:r>
        <w:rPr>
          <w:b/>
        </w:rPr>
        <w:t>E. 11</w:t>
      </w:r>
    </w:p>
    <w:p>
      <w:r>
        <w:t>Compte tenu de ce qui précède, la mise en œuvre de l'évaluation pluridisciplinaire sollicitée par l'intimée apparaît opportune et peut être confiée à la clinique romande de réadaptation à Sion (CRR), sous la responsabilité du Dr I______, ou à la clinique de réadaptation de Bellikon, sous la responsabilité du Dr K______ et d’autres experts qui auront, préalablement été annoncés au recourant. L'intimée s'est d'ores et déjà engagée à prendre en charge tous les frais liés à cette mesure d'instruction, conformément à l'art. 45 LPGA. Il convient de lui en donner acte. Pour le reste, on remarquera que le recourant ne s'est pas opposé à la collaboration de l'OAI à cette mesure. Mal fondé, le recours est rejeté. Le recourant n'obtenant pas gain de cause, il ne peut prétendre une indemnité à titre de dépens (art. 61 let. g LPGA a contrario). Les assureurs sociaux qui obtiennent gain de cause devant une juridiction de première instance n’ont en principe pas le droit à une indemnité de dépens (ATF 126 V 149 consid. 4). Pour le reste, la procédure est gratuite (art. 61 let. a LPGA ; art. 89H al. 1 LPA).</w:t>
      </w:r>
    </w:p>
    <w:p>
      <w:r>
        <w:t>A/3246/2015 - 17/17 -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