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ATAS/489/2015 vom 25. Juni 2015</w:t>
      </w:r>
    </w:p>
    <w:p>
      <w:r>
        <w:t>GE Cour de justice, 2015-06-25, FR</w:t>
      </w:r>
    </w:p>
    <w:p>
      <w:r>
        <w:rPr>
          <w:b/>
        </w:rPr>
        <w:t xml:space="preserve">Quelle: </w:t>
      </w:r>
      <w:r>
        <w:t>https://mcp.opencaselaw.ch/entscheid/ge_gerichte_ATAS_489_2015</w:t>
      </w:r>
    </w:p>
    <w:p>
      <w:r>
        <w:t>FR: GE_GERICHTE ATAS/489/2015 du 25 juin 2015</w:t>
      </w:r>
    </w:p>
    <w:p>
      <w:r>
        <w:t>IT: GE_GERICHTE ATAS/489/2015 del 25 giugno 2015</w:t>
      </w:r>
    </w:p>
    <w:p>
      <w:pPr>
        <w:pStyle w:val="Heading2"/>
      </w:pPr>
      <w:r>
        <w:t>Erwägungen</w:t>
      </w:r>
    </w:p>
    <w:p>
      <w:r>
        <w:rPr>
          <w:b/>
        </w:rPr>
        <w:t>E. 26</w:t>
      </w:r>
    </w:p>
    <w:p>
      <w:r>
        <w:t>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nouvelles dispositions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30 jours (art. 60 al. 1 LPGA). Interjeté dans la forme et le délai prévus par la loi, le recours est recevable, en vertu des art. 56 ss LPGA. 4. Est litigieuse en l'espèce la suppression de la rente entière d'invalidité versée à la recourante. Singulièrement, il convient d'examiner si les conditions d'une révision du droit à la rente sont présentement remplies.</w:t>
      </w:r>
    </w:p>
    <w:p>
      <w:r>
        <w:t>A/4034/2013 - 10/17 - 5.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A/4034/2013 - 11/17 -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A/4034/2013 - 12/17 -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8.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9. En l’espèce, il ressort de la décision initiale que la rente a été octroyée à l’origine pour des raisons exclusivement psychiques. En effet, la décision initiale d'octroi de rente du 14 juin 2010 repose principalement sur l’avis des experts du SMR - lesquels ont estimé que l’assurée était dans l’incapacité totale d’exercer la moindre activité en raison d’un épisode dépressif sévère avec symptômes psychotiques. Il est à relever que l’épisode dépressif a été</w:t>
      </w:r>
    </w:p>
    <w:p>
      <w:r>
        <w:t>A/4034/2013 - 13/17 - jugé totalement invalidant même pour la période précédant l’apparition des symptômes psychotiques. Au moment de la suppression de la rente litigieuse, force est de constater que le tableau clinique présenté par la recourante, tel que décrit par ses médecins et psychiatres traitants, ne diffère pas fondamentalement de celui présenté à l'époque de son octroi. Seul le Dr G______ tire des conclusions contraires. Or, son rapport d’expertise ne saurait se voir reconnaître pleine valeur probante. En effet, les conclusions du Dr G______ selon lesquelles seuls pourraient être retenus les diagnostics d’état dépressif majeur récurrent de gravité subclinique à légère et de trouble somatoforme douloureux ne sont pas convaincantes. En premier lieu, on relèvera que l’expert, au lieu de se contenter d’observations objectives, se livre à de multiples supputations sans fondement : le psychiatre traitant n’aurait pu se faire une idée suffisamment précise de l’état psychologique de l’assurée, l’assurée aurait peut-être vécu son activité comme trop lourde, le Dr F______ aurait pu influencer l’assurée et lui suggérer l’existence de symptômes psychotiques durant son examen, il aurait sans doute adopté à son égard une attitude plutôt compassionnelle et prendre au pied de la lettre les dires de l’assurée, sans distance critique, il n’aurait pas tenu compte de certaines spécificités culturelles. Ce faisant, le Dr G______, loin de se livrer à une observation objective, substitue sa propre appréciation à celle de son collègue, revenant sur l’appréciation faite par celui-ci près de trois ans plus tôt. En second lieu, l’expert conclut à un trouble somatoforme douloureux sans expliquer pour quelles raisons il s’écarte à cet égard de l’avis des experts s’étant précédemment exprimés. Or, ceux-ci avaient clairement indiqué qu’un tel trouble devait être écarté parce que l’état dépressif avait précédé l’apparition des douleurs, lesquelles devaient être considérées comme son expression somatique. Le psychiatre traitant retient certes le diagnostic de trouble somatoforme douloureux mais confirme que l’état dépressivo-anxieux est bien antérieur aux douleurs. Cette conclusion du Dr G______ apparaît donc pour le moins sujette à caution. Enfin, le Dr G______ se révèle contradictoire quant à l’appréciation de la capacité de travail : il conclut qu’il serait manifeste que l’état psychique de l’assurée se soit nettement amélioré depuis l’examen du 30 avril 2009 au point que l’exercice d’une activité adaptée serait exigible à hauteur de 100% mais ajoute plus loin que la capacité de travail doit être évaluée à 50% dans l’ancienne activité, faisant manifestement là référence aux limitations physiques de l’assurée qui ne sont pas de son ressort. Dans le même temps, les conclusions des médecins et psychiatres traitants qui suivaient déjà l’assurée à l’époque de l’octroi initial de rente - et qui avaient donc été corroborées par les experts du SMR - sont claires : son état est demeuré stationnaire depuis lors.</w:t>
      </w:r>
    </w:p>
    <w:p>
      <w:r>
        <w:t>A/4034/2013 - 14/17 - Dans ces circonstances, il convient de considérer qu’il n'existe pas de modification notable de l'état de santé de l'assurée au sens de l'art. 17 LPGA et de la jurisprudence y relative citée ci-avant autorisant une révision du droit à la rente : seule l'appréciation médicale diffère entre le moment de l'octroi de la rente et celui de la révision. Or, il n'y a pas matière à révision lorsque les circonstances sont demeurées inchangées et que le motif de la suppression de la rente réside uniquement dans une nouvelle appréciation du cas; un motif de révision au sens de l'art. 17 LPGA doit ressortir clairement du dossier (p. ex. arrêt du TFA P. du 31 janvier 2003 [I 559/02], consid. 3.2 et les arrêts cités; sur les motifs de révision en particulier : Urs MÜLLER, Die materiellen Voraussetzungen der Rentenrevision in der Invalidenversicherung, thèse Fribourg 2002, p. 133 ss). Ainsi que l’a souligné l’intimé, en matière de troubles psychiques, les conclusions médicales priment sur l’enquête à domicile. Il n’y a donc pas lieu de retenir une modification des circonstances sur la seule base de la nouvelle enquête diligentée, puisqu’il est admis par ailleurs qu’aucune amélioration de l’état psychique de la recourante n’a été démontrée au degré de vraisemblance prépondérante requis. Un motif de révision n'entrant pas en ligne de compte dans le cas particulier, il convient d'examiner si la décision de suppression de rente peut être entérinée pour le motif substitué que la décision initiale était manifestement erronée et que sa rectification revêt une importance notable. 10.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w:t>
      </w:r>
    </w:p>
    <w:p>
      <w:r>
        <w:t>A/4034/2013 - 15/17 -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d) Pour juger s'il est admissible de reconsidérer une décision pour le motif qu'elle est sans nul doute erronée, il faut se fonder sur les faits et la situation juridique existant</w:t>
      </w:r>
    </w:p>
    <w:p>
      <w:r>
        <w:t>A/4034/2013 - 16/17 - au moment où cette décision a été rendue, compte tenu de la pratique en vigueur à l'époque (ATF 125 V 383 consid. 3; arrêt du Tribunal fédéral 9C_74/2008 du 17 juillet 2008 consid. 2). 11. 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 12. En l’espèce, pour octroyer la rente, l'OAI s'est basé sur le rapport des médecins du SMR, lequel, détaillé et convaincant et corroboré par les conclusions du psychiatre traitant, doit se voir reconnaître pleine valeur probante. La décision de l’OAI, fondée sur un rapport d’expertise clair, n'était pas manifestement erronée. Ainsi, en l’absence d’un motif de révision ou de reconsidération de la décision du 14 juin 2010, la rente d’invalidité accordée à la recourante doit être maintenue. 13. Au vu de ce qui précède, le recours sera admis et la décision du 12 novembre 2013 sera annulée. La recourante obtenant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A/4034/2013 - 17/17 -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