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ATAS/489/2011 vom 17. Mai 2011</w:t>
      </w:r>
    </w:p>
    <w:p>
      <w:r>
        <w:t>GE Cour de justice, 2011-05-17, FR</w:t>
      </w:r>
    </w:p>
    <w:p>
      <w:r>
        <w:rPr>
          <w:b/>
        </w:rPr>
        <w:t xml:space="preserve">Quelle: </w:t>
      </w:r>
      <w:r>
        <w:t>https://mcp.opencaselaw.ch/entscheid/ge_gerichte_ATAS_489_2011</w:t>
      </w:r>
    </w:p>
    <w:p>
      <w:r>
        <w:t>FR: GE_GERICHTE ATAS/489/2011 du 17 mai 2011</w:t>
      </w:r>
    </w:p>
    <w:p>
      <w:r>
        <w:t>IT: GE_GERICHTE ATAS/489/2011 del 17 maggio 2011</w:t>
      </w:r>
    </w:p>
    <w:p>
      <w:pPr>
        <w:pStyle w:val="Heading2"/>
      </w:pPr>
      <w:r>
        <w:t>Erwägungen</w:t>
      </w:r>
    </w:p>
    <w:p>
      <w:r>
        <w:rPr>
          <w:b/>
        </w:rPr>
        <w:t>E. 7</w:t>
      </w:r>
    </w:p>
    <w:p>
      <w:r>
        <w:t>a) Dans le cas d'espèce, la Cour de céans constate, tout d’abord, que la recourante n’a pas apporté la preuve qu’elle avait acquis le bien immobilier à titre fiduciaire pour son époux. En effet, à teneur du dossier, elle était la seule propriétaire du bien immobilier vendu en 2004. Par ailleurs, aucun contrat de fiducie n’a été produit et les déclarations relatives à la provenance des fonds propres varient. Lorsque l’intéressée s’exprime personnellement, comme cela a été le cas dans son opposition du 29 octobre 2008 ou lors de l’audience de comparution personnelle des parties du 24 août 2009, elle n’allègue pas que les fonds investis dans le bien immobilier, en 1979, appartiendraient en réalité à son époux ou à l’une de ses sociétés. Il en va de même lorsqu’elle s’est exprimée, par l’intermédiaire de sa fille, dans son recours du 25 février 2009. Par la suite, en revanche, sous la plume de son</w:t>
      </w:r>
    </w:p>
    <w:p>
      <w:r>
        <w:t>A/639/2009 - 12/15 - Conseil, la recourante a indiqué, dans le complément de recours du 31 août 2009 puis dans ses observations après enquêtes du 30 septembre 2009, que les fonds appartenaient à feu son époux, respectivement à X__________ SA. Par ailleurs, lors de l’audience de comparution personnelle du 24 août 2010, sa fille a encore précisé que les fonds investis provenaient de X__________ SA et de Y__________ SA. Au vu de ce qui précède, la Cour de céans considère que, selon le principe de la vraisemblance prépondérante, la recourante était propriétaire des fonds investis de sorte que c’est à juste titre que le solde du prix de vente lui a été versé sur son compte et que le SPC a examiné son affectation en 2005. Il n’y a ainsi pas lieu d’ordonner une prorogation d’enquêtes, d’entendre d’autres témoins et d’ordonner l’apport des documents de la Justice de paix (appréciation anticipée des preuves : ATF 122 II 469 consid. 4a, 122 III 223 consid. 3c). b) Il convient donc de déterminer si le solde du prix de vente a fait l’objet d’un dessaisissement. En effet, selon les relevés bancaires transmis par la recourante, des versements totalisant 191'232 fr. 05, destinés à deux sociétés dans lesquelles son époux était administrateur, ont été effectués. La Cour de céans relève à ce stade que le montant de 202'019 fr. 75 tel que retenu par l’intimé ne trouve aucune assise dans les pièces du dossier. S’agissant des versements, il y a lieu de retenir ce qui suit : − La recourante a, en premier, lieu versé 101'000 fr. à la société X__________ SA (désignée dans les relevés bancaires comme étant la société X__________ SA), dans laquelle son époux était actionnaire et administrateur. Pour la Cour de céans, aucun élément du dossier ne permet de considérer que ces versements constituaient des investissements à risque. En effet, en 2007, la société avait conclu un contrat pour près de 2'000'000 fr. De plus, selon les témoins entendus, la société avait payé toutes les dettes (salaires, charges sociales et fournisseurs) au moment de sa radiation et rien ne permet de croire qu’elle aurait périclité si elle avait poursuivi son activité. Par ailleurs, selon le document intitulé « utilisation du compte de résultat », la société X__________ SA présentait un bénéfice disponible de 586'152 fr. 25 au 31 décembre 2006. Par ailleurs, conformément à l’extrait du registre du commerce, la société a été dissoute en application de l’art. 731b al. 1 ch. 3 CO. Or, cette disposition prévoit que le juge peut prononcer la dissolution d’une société et ordonner sa liquidation selon les dispositions sur la faillite, lorsqu’elle ne possède pas tous les organes prescrits ou qu’un de ces organes n’est pas composé conformément aux prescriptions légales. Ainsi, X__________ SA n’a pas été dissoute en raison de problèmes de liquidités mais uniquement parce qu’elle ne disposait plus des organes prescrits par la loi.</w:t>
      </w:r>
    </w:p>
    <w:p>
      <w:r>
        <w:t>A/639/2009 - 13/15 - A cela s’ajoute le fait qu’il est vraisemblable que la recourante ait fait des avances à son époux, espérant ainsi l’aider à rendre l’entreprise dans laquelle il était actionnaire plus florissante, ce qui n’aurait pas manqué d’entraîner un meilleur train de vie pour le couple. Ce n’est par conséquent pas sans contrepartie que les versements ont été effectués de sorte que le montant total de 101'000 fr. destiné à X__________ SA ne constituait pas un investissement à risque. − Ces mêmes considérations s’appliquent s’agissant de Y__________S SA, à laquelle 79'053 fr. 80 ont été versés. En effet, selon l’acte de constitution de cette société, le défunt époux de la recourante avait souscrit 48 actions, sur un total de 50. De plus, selon l’extrait du registre du commerce, il était administrateur unique, avec signature individuelle. Par conséquent, au jour des versements litigieux, il était vraisemblablement l’actionnaire majoritaire, voire unique de Y__________S SA. En ce qui concerne la faillite, elle est survenue 18 ans après la création de la société et près de trois ans après les versements de sorte qu’il ne s'agissait pas d'une entreprise vouée à l'échec. Par conséquent, comme pour X__________ SA, la Cour de céans est d’avis que les versements n’ont pas été effectués sans contrepartie correspondante et sans garantie, la recourante espérant vraisemblablement aider son époux à rendre l’entreprise plus florissante, ce qui n’aurait pas manqué d’entraîner un meilleur train de vie pour le couple. − Enfin, le montant de 11'178 fr. 25 correspond à un transfert du compte ___________ au compte __________, tous deux ouverts au nom de la recourante. Ce montant ne peut par conséquent être considéré comme un dessaisissement de fortune. Force est donc de constater que le versement total de 180'053 fr. 80 effectué par la recourante faisait l’objet d'un placement ordinaire et ne constituait pas une renonciation à un patrimoine. S’il s'agissait certes d'un projet comportant quelque risque - comme l'est tout investissement financier -, il devait également être qualifié de projet raisonnable relevant d'un choix légitime. En effet, il apparaît compréhensible qu’une personne âgée de 71 ans et mariée depuis 49 ans au moment des faits, fasse confiance à son époux et effectue des versements en faveur des entreprises dont il était actionnaire, sans requérir de reconnaissance de dette pour chaque versement, espérant ainsi que lesdites entreprises se développent, ce qui aurait quoi qu’il en soit inévitablement eu pour conséquence une contre- prestation : la distribution de dividendes et ainsi un meilleur train de vie pour la famille.</w:t>
      </w:r>
    </w:p>
    <w:p>
      <w:r>
        <w:t>A/639/2009 - 14/15 -</w:t>
      </w:r>
    </w:p>
    <w:p>
      <w:r>
        <w:rPr>
          <w:b/>
        </w:rPr>
        <w:t>E. 8</w:t>
      </w:r>
    </w:p>
    <w:p>
      <w:r>
        <w:t>Compte tenu des considérations qui précèdent, les décisions litigieuses seront annulées et le dossier renvoyé au SPC pour nouveau calcul du montant des prestations complémentaires.</w:t>
      </w:r>
    </w:p>
    <w:p>
      <w:r>
        <w:rPr>
          <w:b/>
        </w:rPr>
        <w:t>E. 9</w:t>
      </w:r>
    </w:p>
    <w:p>
      <w:r>
        <w:t>La recourante, qui obtient gain de cause, est représentée par Me Manuel BOLIVAR, de sorte qu'elle a droit à une indemnité à titre de dépens que la Cour fixe en l'espèce à 1'500 fr. (art. 61 let. g LPGA).</w:t>
      </w:r>
    </w:p>
    <w:p>
      <w:r>
        <w:t>A/639/2009 - 15/15 - PAR CES MOTIFS, LA CHAMBRE DES ASSURANCES SOCIALES: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