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ATAS/489/2009 vom 29. April 2009</w:t>
      </w:r>
    </w:p>
    <w:p>
      <w:r>
        <w:t>GE Cour de justice, 2009-04-29, FR</w:t>
      </w:r>
    </w:p>
    <w:p>
      <w:r>
        <w:rPr>
          <w:b/>
        </w:rPr>
        <w:t xml:space="preserve">Quelle: </w:t>
      </w:r>
      <w:r>
        <w:t>https://mcp.opencaselaw.ch/entscheid/ge_gerichte_ATAS_489_2009</w:t>
      </w:r>
    </w:p>
    <w:p>
      <w:r>
        <w:t>FR: GE_GERICHTE ATAS/489/2009 du 29 avril 2009</w:t>
      </w:r>
    </w:p>
    <w:p>
      <w:r>
        <w:t>IT: GE_GERICHTE ATAS/489/2009 del 29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(4ème révision)</w:t>
      </w:r>
    </w:p>
    <w:p>
      <w:r>
        <w:t>A/3372/2008 - 9/17 - et au 1er janvier 2008 (5ème révision), étant précisé que le juge n'a pas à prendre en considération les modifications de droit ou de l'état de fait postérieures à la date déterminante de la décision litigieuse du 20 août 2008 (ATF 129 V 1 consid. 1.2 p. 4; 130 V 445 et les références; voir également ATF 130 V 329). Cela étant, les notions et les principes développés jusqu'alors par la jurisprudence en matière d'évaluation de l'invalidité n'ont pas été modifiés par l'entrée en vigueur de la LPGA ou de la 4ème révision de la LAI (voir ATF 130 V 343). Les règles de procédure s'appliquent, quant à elles, sans réserve, dès l'entrée en vigueur de la LPGA (ATF 117 V 71).</w:t>
      </w:r>
    </w:p>
    <w:p>
      <w:r>
        <w:rPr>
          <w:b/>
        </w:rPr>
        <w:t>E. 3</w:t>
      </w:r>
    </w:p>
    <w:p>
      <w:r>
        <w:t>Interjeté dans les forme et délai prescrits par la loi, le recours est recevable (art. 56 et 60 LPGA).</w:t>
      </w:r>
    </w:p>
    <w:p>
      <w:r>
        <w:rPr>
          <w:b/>
        </w:rPr>
        <w:t>E. 4</w:t>
      </w:r>
    </w:p>
    <w:p>
      <w:r>
        <w:t>Le litige porte sur le degré d'invalidité du recourant et, partant, sur son droit à une rente de l'assurance-invalidité. Il s'agit de déterminer si c'est à bon droit que l'intimé, après avoir admis un degré d'invalidité de 60% fondé sur l'expertise du COMAI du 18 mars 2002, l'a fixé, dans sa décision sur opposition, à 51% sur la base des conclusions de l'expertise du CEMED du 17 décembre 2007 - réalisée plus de cinq ans plus tard -, alors que le recourant concluait à un degré d'invalidité de 100% pour des raisons psychiatriques. A cet égard, le Tribunal de céans ne peut que déplorer la lenteur inadmissible avec laquelle l'intimé a statué sur la demande du recourant, et plus particulièrement sur son opposition du 29 mars 2003.</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4 al. 2 LAI,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w:t>
      </w:r>
    </w:p>
    <w:p>
      <w:r>
        <w:t>A/3372/2008 - 10/17 - où l’assuré apprend, pour la première fois, que l’atteinte à sa santé peut ouvrir droit à des prestations d’assurance (ATF 126 V 5 consid. 2b, 157 consid. 3a). b) L'art. 28 al. 1 LAI, dans sa teneur en vigueur jusqu'au 31 décembre 2003, prévoyait que l'assuré avait droit à une rente entière si son taux d'invalidité était de 66 2/3 % au moins, à une demi-rente s'il était de 50 % au moins et à un quart de rente s'il était de 40 % au moins, sous réserve du cas pénible (al. 1bis). A la suite de l'entrée en vigueur le 1er janvier 2004 des dispositions de la novelle du 21 mars 2003 modifiant la LAI (4ème révision), l'échelonnement des rentes a été affiné. Selon la nouvelle teneur de l'art. 28 al. 1 LAI (applicable du 1er janvier 2004 au 31 décembre 2007; depuis le 1er janvier 2008: art. 28 al. 2 LAI), l'assuré a droit à une rente s'il est invalide à 70 % au moins, à trois quarts de rente s'il est invalide à 60 % au moins, à une demi-rente s'il est invalide à 50 % au moins ou à un quart de rente s'il est invalide à 40 % au moins. Le droit à une rente pour cas pénible a été supprimé. D'après la lettre f des dispositions finales de la modification du 21 mars 2003, les rentes entières en cours perçues au titre d'un taux d'invalidité égal ou supérieur à 66 2/3 % continuent d'être versées après l'entrée en vigueur de cette modification à tous les rentiers qui, à ce moment-là, auront atteint l'âge de 50 ans (1ère phrase). Toutes les autres rentes entières perçues au titre d'une invalidité inférieure à 70 % font l'objet d'une révision dans le délai d'un an dès l'entrée en vigueur de la modification (2ème phrase). Pour autant, cela ne signifie pas que les rentes perçues au titre d'une invalidité de 66 2/3 % au moins et de 70 % au plus par des rentiers qui, au 1er janvier 2004, n'ont pas atteint l'âge de 50 ans, doivent être réduites d'office à compter de cette date à un trois-quarts de rente. Encore faut-il examiner au préalable si les circonstances de fait et de droit se sont modifiées de manière à influencer le degré d'invalidité depuis le moment de la décision initiale de rente et adapter, le cas échéant, le droit à la rente au nouveau taux obtenu (SVR 2006 IV n° 36 p. 132 consid. 2, I 313/04). c) Pour évaluer le taux d’invalidité des personnes actives,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28 al. 2 LAI et 16 LPGA).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w:t>
      </w:r>
    </w:p>
    <w:p>
      <w:r>
        <w:t>A/3372/2008 - 11/17 -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rPr>
          <w:b/>
        </w:rPr>
        <w:t>E. 6</w:t>
      </w:r>
    </w:p>
    <w:p>
      <w:r>
        <w:t>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w:t>
      </w:r>
    </w:p>
    <w:p>
      <w:r>
        <w:t>A/3372/2008 - 12/17 -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w:t>
      </w:r>
    </w:p>
    <w:p>
      <w:r>
        <w:t>A/3372/2008 - 13/17 -</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352 ss consid. 3).</w:t>
      </w:r>
    </w:p>
    <w:p>
      <w:r>
        <w:rPr>
          <w:b/>
        </w:rPr>
        <w:t>E. 8</w:t>
      </w:r>
    </w:p>
    <w:p>
      <w:r>
        <w:t>En l'espèce, le recourant est incapable de travailler depuis son accident. Selon le Dr M__________, l'incapacité de travail est de 100% sur le plan somatique dans l'ancienne activité. Il ne s'est pas prononcé sur la capacité de travail dans une activité adaptée. Quant au psychiatre traitant, le Dr N__________, il a diagnostiqué un état dépressif moyen ainsi qu'un trouble de la personnalité à traits frustres et rigides et concluait à une incapacité de travail de 100%, . Selon le rapport d'expertise pluridisciplinaire du COMAI du 18 mars 2002, le recourant souffrait de troubles somatoformes douloureux chroniques, ainsi que de troubles dépressifs récurrents d'intensité sévère. S'agissant de la capacité de travail, le COMAI a considéré que du point de vue rhumatologique et psychiatrique, le recourant pouvait encore travailler à 50 % dans une activité adaptée respectant les limitations fonctionnelles. Il a expliqué qu'il s'écartait des conclusions de son consultant psychiatre, qui estimait que le recourant était incapable de travailler à</w:t>
      </w:r>
    </w:p>
    <w:p>
      <w:r>
        <w:t>A/3372/2008 - 14/17 - 75 % pour des motifs psychiatriques, car ce dernier paraissait encore détenir certaines ressources adaptatives. Le Tribunal de céans relève que le rapport d'expertise du COMAI se fonde sur l'intégralité du dossier médical, qu'il comporte une anamnèse détaillée, que les plaintes ont été prises en compte et que les conclusions sont claires et bien motivées. Le COMAI a en particulier expliqué de manière convaincante pourquoi il s'est écarté de l'évaluation de la capacité de travail faite par son psychiatre consultant. L'appréciation du psychiatre traitant - qui ne retient au demeurant pas le diagnostic d'état dépressif d'intensité sévère - ne saurait remettre en cause les conclusions du rapport d'expertise du COMAI, qui revêt pleine valeur probante.</w:t>
      </w:r>
    </w:p>
    <w:p>
      <w:r>
        <w:t>Suite à l'opposition du recourant, l'intimé a fait procéder - cinq ans plus tard - à une nouvelle expertise auprès du CEMED de Nyon. Le diagnostic retenu est celui de trouble somatoforme douloureux depuis 2000, les experts ayant jugé qu'il n'était pas nécessaire dans ce cas de diagnostiquer à part les manifestations dépressives. Le CEMED a conclu à une capacité de travail de 100% dans une activité adaptée, sur le plan somatique et psychique, avec une diminution de rendement de 20% sur le plan somatique et de 40% sur le plan psychique.</w:t>
      </w:r>
    </w:p>
    <w:p>
      <w:r>
        <w:t>Le recourant conteste cette appréciation, relevant qu'elle en contradiction avec celle du COMAI, que les diagnostics devraient rester les mêmes et qu'il n'est pas possible de fusionner les deux diagnostics de TSD et trouble dépressif récurrent d'intensité sévère en les faisant passer pour une réaction dépressive habituelle et banale. L'intimé, se fondant sur l'avis du SMR, considère que les conclusions du CEMED revêtent pleine valeur et qu'elles doivent être suivies. Il justifie sa position en relevant que la validité médicale de la première expertise n'a jamais été contrôlée, à la différence de celle de 2007 où le SMR a dû se positionner, ce qu'il a fait dans son avis du 22 juillet 2008 de façon claire et motivée.</w:t>
      </w:r>
    </w:p>
    <w:p>
      <w:r>
        <w:t>Le Tribunal de céans ne peut se rallier à la position de l'intimé. En premier lieu, il sied de rappeler que la valeur probante d'une expertise ne doit pas être vérifiée médicalement, mais examinée à la lumière des règles développées par la jurisprudence évoquée supra. Or, à cet égard, le SMR n'explique pas pourquoi les conclusions du CEMED seraient plus convaincantes que celles du COMAI. Ensuite, le Tribunal constate, à l'examen du contenu de l'expertise du CEMED, qu'elle comporte plusieurs contradictions, voire des inexactitudes; les experts mentionnent par exemple que l'irritabilité dont fait preuve le recourant est nouvelle. Or, l'irritabilité et la nervosité avaient pourtant déjà été évoquées par le Dr R_________ et objectivées par les experts du COMAI, qui notaient aussi la dégradation des relations du recourant avec son entourage amical ainsi qu'avec son épouse, puisque le recourant reconnaissait avoir usé de violence directe envers elle. Sur le plan somatique, le CEMED retient à peu près les mêmes diagnostics que le COMAI, en indiquant qu'ils sont sans répercussion sur la capacité de travail (p. 36</w:t>
      </w:r>
    </w:p>
    <w:p>
      <w:r>
        <w:t>A/3372/2008 - 15/17 - de l'expertise), alors que plus loin il fait état des limitations fonctionnelles qu'entraînent les troubles dégénératifs et retient finalement une capacité de travail de 40% dans l'activité de jardinier-bûcheron (p. 27 de l'expertise) et de 100% avec une diminution de rendement de 20% dans une activité adaptée (p. 20 de l'expertise). Nonobstant cette contradiction, le Tribunal de céans constate que l'appréciation de la capacité de travail résiduelle sur le plan somatique par le CEMED rejoint celle du COMAI (80% dans une activité adaptée, p. 11 expertise COMAI). Du point de vue psychiatrique, le CEMED a posé le diagnostic de trouble somatoforme douloureux depuis 2000. Toutefois, le Tribunal de céans relève que le CEMED fait un amalgame entre le trouble somatoforme douloureux et le trouble dépressif, sans préciser d'ailleurs la sévérité du trouble psychique - pourtant indispensable pour pouvoir juger du caractère invalidant d'un TSD - et retient finalement que l'atteinte à la santé entraîne une diminution de rendement dans une activité adaptée de 40% sur le plan psychique. L'on peine à comprendre comment le CEMED parvient à cette conclusion, alors même qu'il indique que son appréciation est superposable à celle de ses collègues du COMAI, tant du point de vue somatique que psychique. De surcroît, les experts du CEMED ne mentionnent pas d'amélioration de l'état de santé psychique. Force est de constater qu'il s'agit en réalité d'une appréciation divergente tant du point de vue diagnostique que des conséquences sur la capacité de travail d'une situation de fait demeurée pour l'essentiel identique.</w:t>
      </w:r>
    </w:p>
    <w:p>
      <w:r>
        <w:t>Au vu de ce qui précède, outre que le rapport d'expertise du CEMED ne saurait se voir attribuer pleine valeur probante, rien ne permet de s'écarter des conclusions de l'expertise du COMAI. Une nouvelle expertise est ainsi superflue.</w:t>
      </w:r>
    </w:p>
    <w:p>
      <w:r>
        <w:t>Il convient au demeurant de relever que dans la mesure où l'intimé a modifié, par sa décision sur opposition, rétraoctivement le degré d'invalidité du recourant en sa défaveur, le privant par là du droit à un trois-quarts de rente dès le 1er janvier 2004, il devait alors, s'agissant d'une reformatio in pejus, l'en informer et l'inviter à retirer son opposition, ce qu'il n'a point fait.</w:t>
      </w:r>
    </w:p>
    <w:p>
      <w:r>
        <w:t>En définitive, le Tribunal de céans se rallie aux conclusions de l'expertise du COMAI et admet que le recourant présente une capacité de travail résiduelle de 50% dans une activité adaptée.</w:t>
      </w:r>
    </w:p>
    <w:p>
      <w:r>
        <w:t>Sur la base des renseignements communiqués par l'employeur, le revenu sans invalidité du recourant - non contesté - s'élève en 1999 à 56'412 fr. 90, vacances (8,4%) et 13ème salaire (8,3%) compris. Quant au revenu d'invalide, il y a lieu de se fonder, en l'absence d'une activité exercée par le recourant, sur les statistiques ressortant de l'Enquête sur la structure des salaires (ESS) 1998, soit le salaire moyen auxquels peuvent prétendre les hommes dans des activités simples et répétitives, soit 4'268 fr. par mois (tableau TA1 niveau 4) pour 40 heures par semaine. Compte tenu d'une durée hebdomadaire de travail usuelle de 41,9 heures</w:t>
      </w:r>
    </w:p>
    <w:p>
      <w:r>
        <w:t>A/3372/2008 - 16/17 - dans les entreprises en 1999 (La Vie Economique 9-2007, p. 98 tableau B9.2), le salaire mensuel s'élève à 4'460 fr. 05 et à 53'520 fr. 70 par an. Réactualisé à 1999, le salaire annuel s'élève à 53'686 fr. 90. Compte tenu d'une capacité de travail résiduelle de 50 %, le salaire annuel est de 26'843 fr. 45. Enfin, après un abattement de 15 %, sur lequel il n'y a pas lieu de revenir, le salaire annuel d'invalide s'élève à 22'816 fr. 90.</w:t>
      </w:r>
    </w:p>
    <w:p>
      <w:r>
        <w:t>Après comparaison des gains, le recourant présente un degré d'invalidité de 59,55%, arrondi à 60% (ATF 130 V 122 consid. 3) lui ouvrant droit à une demi- rente d'invalidité dès le 1er décembre 1999 et à trois-quarts de rente depuis le 1er janvier 2004.</w:t>
      </w:r>
    </w:p>
    <w:p>
      <w:r>
        <w:rPr>
          <w:b/>
        </w:rPr>
        <w:t>E. 9</w:t>
      </w:r>
    </w:p>
    <w:p>
      <w:r>
        <w:t>Le recourant, qui obtient partiellement gain de cause, a droit une participation à ses frais et dépens, fixés en l'espèce à 1'500 fr. (art. 61 let. g LPGA).</w:t>
      </w:r>
    </w:p>
    <w:p>
      <w:r>
        <w:rPr>
          <w:b/>
        </w:rPr>
        <w:t>E. 10</w:t>
      </w:r>
    </w:p>
    <w:p>
      <w:r>
        <w:t>Un émolument de 500 fr. est mis à la charge de l'OCAI (art. 69al. 1bis LAI).</w:t>
      </w:r>
    </w:p>
    <w:p>
      <w:r>
        <w:t>A/3372/2008 - 17/17 -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