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ATAS/488/2019 vom 27. Mai 2019</w:t>
      </w:r>
    </w:p>
    <w:p>
      <w:r>
        <w:t>GE Cour de justice, 2019-05-27, FR</w:t>
      </w:r>
    </w:p>
    <w:p>
      <w:r>
        <w:rPr>
          <w:b/>
        </w:rPr>
        <w:t xml:space="preserve">Quelle: </w:t>
      </w:r>
      <w:r>
        <w:t>https://mcp.opencaselaw.ch/entscheid/ge_gerichte_ATAS_488_2019</w:t>
      </w:r>
    </w:p>
    <w:p>
      <w:r>
        <w:t>FR: GE_GERICHTE ATAS/488/2019 du 27 mai 2019</w:t>
      </w:r>
    </w:p>
    <w:p>
      <w:r>
        <w:t>IT: GE_GERICHTE ATAS/488/2019 del 27 maggio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la forme et le délai prévus par la loi, le recours est recevable (art. 56 et 60 de la loi fédérale sur la partie générale du droit des assurances sociales du</w:t>
      </w:r>
    </w:p>
    <w:p>
      <w:r>
        <w:rPr>
          <w:b/>
        </w:rPr>
        <w:t>E. 6</w:t>
      </w:r>
    </w:p>
    <w:p>
      <w:r>
        <w:t>octobre 2000 [LPGA - RS 830.1]; art. 89B de la loi sur la procédure administrative du 12 septembre 1985 [LPA-GE - E 5 10]). 4. Le litige porte, d’une part, sur l’obligation de la recourante de restituer un montant de CHF 17'089.-, d’autre part, sur le calcul de la PCF et de la PCC dues à la recourante dès le 1er août 2018. 5. a. S'agissant des prestations complémentaires fédérales, selon l'art. 25 al. 1 1ère phrase LPGA, en relation avec l'art. 2 al. 1 let. a de l'Ordonnance sur la partie générale du droit des assurances sociales du</w:t>
      </w:r>
    </w:p>
    <w:p>
      <w:r>
        <w:rPr>
          <w:b/>
        </w:rPr>
        <w:t>E. 11</w:t>
      </w:r>
    </w:p>
    <w:p>
      <w:r>
        <w:t>Selon l’art. 25 al. 1 LPGA,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12</w:t>
      </w:r>
    </w:p>
    <w:p>
      <w:r>
        <w:t>En l’occurrence, la recourante, représentée par son avocat, indique qu’elle ne comprend pas les montants pris en compte par l’intimé au titre du loyer de l’appartement, des frais accessoires, de sa fortune et des rentes AVS et étrangère (cf recours du 7 janvier 2019). Or, figure au dossier de la recourante (pièce 93 chargé intimé), une note interne de calcul, comprenant le détail de la prise en compte de la fortune et du revenu déterminant de la recourante. De surcroît, le 31 janvier 2019, l’intimé a donné toutes les explications utiles à la recourante sur les trois points précités soit : - Le montant du loyer était de CHF 6'024.- diminué à CHF 4'824.- dès février 2018 et celui des charges annuelles de CHF 1'440.-, conformément aux pièces transmises par la recourante elle-même à l’intimé le 18 juin 2018. - La fortune mobilière était établie sur la base des comptes de la recourante, dont les soldes des comptes bulgares convertis en CHF et de la rente étrangère</w:t>
      </w:r>
    </w:p>
    <w:p>
      <w:r>
        <w:t>A/53/2019 - 11/12 - annuelle de EUR 2'556.36 (correspondant à EUR 213.03 par mois, comme indiqué par la recourante), convertie en CHF, selon les taux de conversion mentionnés dans un tableau de l’intimé (pièce no. 93 intimé). - Enfin, le montant de la rente AVS était de CHF 1221.- par mois, soit CHF 15'381 par année. Le 28 mars 2019, après avoir pris connaissance des explications fournies par l’intimé, la recourante a sollicité la reprise du versement des prestations complémentaires ; ce faisant elle prend une conclusion se rapportant à la décision de suppression de toute prestation de l’intimé du 28 novembre 2018, objet de l’opposition de la recourante du 7 janvier 2019 et qui sort de l’objet du présent litige. Au surplus, la recourante s’est limitée à invoquer qu’elle n’avait pas les moyens de rembourser CHF 17'089.-, exposant ainsi un argument relevant d’une demande de remise de l’obligation de restituer. Elle n’a finalement fait valoir aucun grief concernant la décision du 26 novembre 2018. En outre, la demande de restitution, formée le 6 juillet 2018, soit moins d’un mois après que l’intimé a pris connaissance des pièces transmises par la recourante le 18 juin 2018, lesquelles attestaient de comptes épargne bulgares et d’une rente de la sécurité sociale bulgare, respecte le délai de prescription de l’art. 25 LPGA. En tant qu’il s’agit d’une violation de l’art. 31 CPC, soit une violation par la recourante de l’obligation de renseigner l’intimé, c’est à juste titre que l’intimé a recalculé le droit de la recourante à des prestations complémentaires depuis le 1er août 2011, la prescription de sept ans étant en l’occurrence applicable.</w:t>
      </w:r>
    </w:p>
    <w:p>
      <w:r>
        <w:rPr>
          <w:b/>
        </w:rPr>
        <w:t>E. 13</w:t>
      </w:r>
    </w:p>
    <w:p>
      <w:r>
        <w:t>Au demeurant, au vu des explications claires fournies par l’intimé, la demande de restitution de CHF 17'089.- ainsi que le calcul des prestations dues à la recourante dès le 1er août 2018 ne sont pas critiquables. En conséquence, le recours ne peut qu’être rejeté.</w:t>
      </w:r>
    </w:p>
    <w:p>
      <w:r>
        <w:rPr>
          <w:b/>
        </w:rPr>
        <w:t>E. 14</w:t>
      </w:r>
    </w:p>
    <w:p>
      <w:r>
        <w:t>La cause sera cependant transmise à l’intimé afin qu’il traite la demande de remise formée par la recourante aussitôt la décision de restitution entrée en force (art. 4 OPGA).</w:t>
      </w:r>
    </w:p>
    <w:p>
      <w:r>
        <w:rPr>
          <w:b/>
        </w:rPr>
        <w:t>E. 15</w:t>
      </w:r>
    </w:p>
    <w:p>
      <w:r>
        <w:t>Au surplus, la procédure est gratuite.</w:t>
      </w:r>
    </w:p>
    <w:p>
      <w:r>
        <w:t>A/53/2019 - 12/12 -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