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ATAS/488/2016 vom 21. Juni 2016</w:t>
      </w:r>
    </w:p>
    <w:p>
      <w:r>
        <w:t>GE Cour de justice, 2016-06-21, FR</w:t>
      </w:r>
    </w:p>
    <w:p>
      <w:r>
        <w:rPr>
          <w:b/>
        </w:rPr>
        <w:t xml:space="preserve">Quelle: </w:t>
      </w:r>
      <w:r>
        <w:t>https://mcp.opencaselaw.ch/entscheid/ge_gerichte_ATAS_488_2016</w:t>
      </w:r>
    </w:p>
    <w:p>
      <w:r>
        <w:t>FR: GE_GERICHTE ATAS/488/2016 du 21 juin 2016</w:t>
      </w:r>
    </w:p>
    <w:p>
      <w:r>
        <w:t>IT: GE_GERICHTE ATAS/488/2016 del 21 giugno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w:t>
      </w:r>
    </w:p>
    <w:p>
      <w:r>
        <w:t>A/953/2016 4/7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129 V 444).</w:t>
      </w:r>
    </w:p>
    <w:p>
      <w:r>
        <w:rPr>
          <w:b/>
        </w:rPr>
        <w:t>E. 3</w:t>
      </w:r>
    </w:p>
    <w:p>
      <w:r>
        <w:t>Selon l’art. 12 de l'ordonnance fédérale sur la prévoyance professionnelle vieillesse, survivants et invalidité, du 18 avril 1984 (OPP 2 - RS 831.441.1), le taux d'intérêt applicable à la prestation de sortie est de 4% jusqu'au 31 décembre 2002, 3.25% en 2003, 2.25% en 2004, 2.5% de 2005 à 2007, 2.75% en 2008, 2% de 2009 à 2011, 1.5% de 2012 à 2013 et 1.75% dès le 1er janvier 2014.</w:t>
      </w:r>
    </w:p>
    <w:p>
      <w:r>
        <w:rPr>
          <w:b/>
        </w:rPr>
        <w:t>E. 4</w:t>
      </w:r>
    </w:p>
    <w:p>
      <w:r>
        <w:t>Selon l'art. 25 de la loi fédérale sur le droit international privé du 18 mars 1987 (LDIP - RS 291), une décision étrangère est reconnue en Suisse : a. si la compétence des autorités judiciaires ou administratives de l’Etat dans lequel la décision a été rendue était donnée; b. si la décision n’est plus susceptible de recours ordinaire ou si elle est définitive; s’il n’y a pas de motif de refus au sens de l’art. 27. La reconnaissance d’une décision étrangère doit être refusée si elle est manifestement incompatible avec l’ordre public suisse (art. 27 al. 1 LDIP), de même que si une partie établit (art. 27 al. 2 LDIP)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(art. 27 al. 3 LDIP).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w:t>
      </w:r>
    </w:p>
    <w:p>
      <w:r>
        <w:t>A/953/2016 5/7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(al. 1). La partie qui s’oppose à la reconnaissance et à l’exécution est entendue dans la procédure; elle peut y faire valoir ses moyens (al. 2). Lorsqu’une décision étrangère est invoquée à titre préalable, l’autorité saisie peut statuer elle-même sur la reconnaissance (al. 3)." Il appartient ainsi à la chambre de céans de statuer, à titre préjudiciel, sur la reconnaissance en Suisse du jugement de divorce rendu le 27 mars 2014 par le Tribunal de grande instance de Thonon-les-Bains. Selon la jurisprudence, 'en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rPr>
          <w:b/>
        </w:rPr>
        <w:t>E. 5</w:t>
      </w:r>
    </w:p>
    <w:p>
      <w:r>
        <w:t>En l’espèce, par jugement du 27 mars 2014, définitif, le juge du Tribunal de grande instance de Thonon-les-Bains a homologué la requête conjointe en divorce déposée par les époux B______/A______, accompagnée d’une convention portant règlement complet des effets du divorce, établies et signées toutes deux le 12 février 2014. Les dates pertinentes sont, d’une part, celle du mariage, le 28 juillet 1990, d’autre part, celle du divorce, le 31 mars 2014, date d’acquiescement des demandeurs au jugement homologuant leur requête conjointe en divorce et la convention l’accompagnant.</w:t>
      </w:r>
    </w:p>
    <w:p>
      <w:r>
        <w:rPr>
          <w:b/>
        </w:rPr>
        <w:t>E. 6</w:t>
      </w:r>
    </w:p>
    <w:p>
      <w:r>
        <w:t>Selon les documents produits, la prestation acquise pendant le mariage par le demandeur est de CHF 339'802.10 (CHF 48'092.85 + CHF 46'987.70 + CHF 244'721.55) tandis que celle acquise par la demanderesse est de CHF 187'246.-, ces avoirs correspondant aux prestations de sortie des ex-époux au jour du divorce, et ceux-ci n’ayant pas cotisé avant la date du mariage. Ainsi, le demandeur doit à son ex-épouse le montant de CHF 169'901.05 (CHF 339'802.10 : 2) et celle-ci doit à celui-là le montant de CHF 93'623.- (CHF 187'246.- : 2), de sorte que c’est Monsieur qui doit à Madame le montant de CHF 76'278.05.</w:t>
      </w:r>
    </w:p>
    <w:p>
      <w:r>
        <w:rPr>
          <w:b/>
        </w:rPr>
        <w:t>E. 7</w:t>
      </w:r>
    </w:p>
    <w:p>
      <w:r>
        <w:t>Conformément à la jurisprudence, depuis le jour déterminant pour le partage jusqu'au moment du transfert de la prestation de sortie ou de la demeure, le conjoint</w:t>
      </w:r>
    </w:p>
    <w:p>
      <w:r>
        <w:t>A/953/2016 6/7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A/953/2016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