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ATAS/487/2023 vom 22. Juni 2023</w:t>
      </w:r>
    </w:p>
    <w:p>
      <w:r>
        <w:t>GE Cour de justice, 2023-06-22, FR</w:t>
      </w:r>
    </w:p>
    <w:p>
      <w:r>
        <w:rPr>
          <w:b/>
        </w:rPr>
        <w:t xml:space="preserve">Quelle: </w:t>
      </w:r>
      <w:r>
        <w:t>https://mcp.opencaselaw.ch/entscheid/ge_gerichte_ATAS_487_2023</w:t>
      </w:r>
    </w:p>
    <w:p>
      <w:r>
        <w:t>FR: GE_GERICHTE ATAS/487/2023 du 22 juin 2023</w:t>
      </w:r>
    </w:p>
    <w:p>
      <w:r>
        <w:t>IT: GE_GERICHTE ATAS/487/2023 del 22 giugno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forme et délai prévus par la loi, le recours est recevable (art. 56ss LPGA et 62ss de la loi sur la procédure administrative du 12 septembre 1985 [LPA-GE - E 5 10]).</w:t>
      </w:r>
    </w:p>
    <w:p>
      <w:r>
        <w:rPr>
          <w:b/>
        </w:rPr>
        <w:t>E. 3</w:t>
      </w:r>
    </w:p>
    <w:p>
      <w:r>
        <w:t>Le litige porte sur la question du bien-fondé de la décision du SAM de déclarer irrecevable pour cause de tardiveté l’opposition formée par l'assuré le 20 octobre 2021 contre la décision du 6 septembre 2021.</w:t>
      </w:r>
    </w:p>
    <w:p>
      <w:r>
        <w:rPr>
          <w:b/>
        </w:rPr>
        <w:t>E. 4.1</w:t>
      </w:r>
    </w:p>
    <w:p>
      <w:r>
        <w:t>Les décisions des assureurs sociaux peuvent être attaquées dans les trente jours par voie d’opposition auprès de l’assureur qui les a rendues (art. 52 al. 1 LPGA).</w:t>
      </w:r>
    </w:p>
    <w:p>
      <w:r>
        <w:rPr>
          <w:b/>
        </w:rPr>
        <w:t>E. 4.2</w:t>
      </w:r>
    </w:p>
    <w:p>
      <w:r>
        <w:t>En l’espèce, il n’est pas contesté que la décision litigieuse a été notifiée au recourant le 7 septembre 2021 et que l'opposition, formée le 20 octobre 2021 seulement, qui plus est par voie électronique, est intervenue après l'échéance du délai d'opposition, donc tardivement.</w:t>
      </w:r>
    </w:p>
    <w:p>
      <w:r>
        <w:rPr>
          <w:b/>
        </w:rPr>
        <w:t>E. 5.1</w:t>
      </w:r>
    </w:p>
    <w:p>
      <w:r>
        <w:t>Selon l’art. 41 al. 1 LPGA, si le requérant ou le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jurisprudence n’admet que restrictivement l’absence de faute. D’un point de vue objectif, elle n'est admise que si des circonstances très particulières rendent impossible l’accomplissement de l’acte dans le délai imparti.</w:t>
      </w:r>
    </w:p>
    <w:p>
      <w:r>
        <w:t>A/1080/2023 - 4/5 - On peut imaginer, à titre d’exemple, un événement naturel imprévisible, l’incendie des bureaux du représentant du mandataire ou encore le service militaire.</w:t>
      </w:r>
    </w:p>
    <w:p>
      <w:r>
        <w:rPr>
          <w:b/>
        </w:rPr>
        <w:t>E. 5.2</w:t>
      </w:r>
    </w:p>
    <w:p>
      <w:r>
        <w:t>En l’occurrence, le recourant ne soutient pas qu'il n'aurait pas eu connaissance de la décision du 6 septembre 2021 en temps utile et il n’invoque aucun motif pour expliquer les raisons pour lesquelles il a agi tardivement. Il se contente de faire valoir des arguments relevant du fond, à savoir sa situation financière et sa bonne foi. Ainsi, en l’absence de motif valable de restitution de délai, la décision de l’intimé de déclarer l’opposition irrecevable ne peut qu’être confirmée.</w:t>
      </w:r>
    </w:p>
    <w:p>
      <w:r>
        <w:rPr>
          <w:b/>
        </w:rPr>
        <w:t>E. 6</w:t>
      </w:r>
    </w:p>
    <w:p>
      <w:r>
        <w:t>Au vu de ce qui précède, le recours est rejeté.</w:t>
      </w:r>
    </w:p>
    <w:p>
      <w:r>
        <w:t>A/1080/2023 - 5/5 -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