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ATAS/487/2022 vom 25. Mai 2022</w:t>
      </w:r>
    </w:p>
    <w:p>
      <w:r>
        <w:t>GE Cour de justice, 2022-05-25, FR</w:t>
      </w:r>
    </w:p>
    <w:p>
      <w:r>
        <w:rPr>
          <w:b/>
        </w:rPr>
        <w:t xml:space="preserve">Quelle: </w:t>
      </w:r>
      <w:r>
        <w:t>https://mcp.opencaselaw.ch/entscheid/ge_gerichte_ATAS_487_2022</w:t>
      </w:r>
    </w:p>
    <w:p>
      <w:r>
        <w:t>FR: GE_GERICHTE ATAS/487/2022 du 25 mai 2022</w:t>
      </w:r>
    </w:p>
    <w:p>
      <w:r>
        <w:t>IT: GE_GERICHTE ATAS/487/2022 del 25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entière d'invalidité au-delà du 31 août 2017.</w:t>
      </w:r>
    </w:p>
    <w:p>
      <w:r>
        <w:rPr>
          <w:b/>
        </w:rPr>
        <w:t>E. 5.1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citées ; VSI 2001 p. 157 consid. 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rPr>
          <w:b/>
        </w:rPr>
        <w:t>E. 5.2</w:t>
      </w:r>
    </w:p>
    <w:p>
      <w:r>
        <w:t>Est réputée invalidité l'incapacité de gain totale ou partielle qui est présumée permanente ou de longue durée (art. 8 al. 1 LPGA). Selon l'art. 7 LPGA, est</w:t>
      </w:r>
    </w:p>
    <w:p>
      <w:r>
        <w:t>A/3724/2018 - 8/26 -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w:t>
      </w:r>
    </w:p>
    <w:p>
      <w:r>
        <w:rPr>
          <w:b/>
        </w:rPr>
        <w:t>E. 5.3.1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 786/04 du 19 janvier 2006 consid. 3.1).</w:t>
      </w:r>
    </w:p>
    <w:p>
      <w:r>
        <w:rPr>
          <w:b/>
        </w:rPr>
        <w:t>E. 5.3.2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w:t>
      </w:r>
    </w:p>
    <w:p>
      <w:r>
        <w:rPr>
          <w:b/>
        </w:rPr>
        <w:t>E. 5.3.3</w:t>
      </w:r>
    </w:p>
    <w:p>
      <w:r>
        <w:t>Dans sa jurisprudence récente (ATF 143 V 409 consid. 4.5 ;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w:t>
      </w:r>
    </w:p>
    <w:p>
      <w:r>
        <w:t>A/3724/2018 - 9/26 -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5.3.4</w:t>
      </w:r>
    </w:p>
    <w:p>
      <w:r>
        <w:t>En outre, depuis un arrêt du Tribunal fédéral du 11 juillet 2019, les syndromes de dépendance et les troubles liés à la consommation de substances diagnostiqués lege artis par un spécialiste doivent également être considérés comme des atteintes psychiques à la santé significatives au sens du droit de l’assurance invalidité d’un point de vue médical (ATF 145 V 215 consid. 5.3.3 et 6). Ainsi, ils répondent aux mêmes principes applicables pour tous les autres troubles psychiques (ATF 145 V 215 consid 5.3.1 ; 141 V 281).</w:t>
      </w:r>
    </w:p>
    <w:p>
      <w:r>
        <w:rPr>
          <w:b/>
        </w:rPr>
        <w:t>E. 5.3.5</w:t>
      </w:r>
    </w:p>
    <w:p>
      <w:r>
        <w:t>L'évaluation des syndromes sans pathogenèse ni étiologie claires et sans constat de déficit organique ne fait pas l'objet d'un consensus médical (arrêt du Tribunal fédéral 9C_619/2012 du 9 juillet 2013 consid. 4.1).</w:t>
      </w:r>
    </w:p>
    <w:p>
      <w:r>
        <w:t>A/3724/2018 - 10/26 -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 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notamment à la fibromyalgie (ATF 132 V 65 consid. 4.1).</w:t>
      </w:r>
    </w:p>
    <w:p>
      <w:r>
        <w:t>A/3724/2018 - 11/26 - Dans un arrêt du 3 juin 2015 publié aux ATF 141 V 281, le Tribunal fédéral a considéré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5.3.6</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Il faut examiner, en premier lieu, le degré de gravité inhérent au diagnostic du syndrome douloureux somatoforme, dont la plainte essentielle doit concerner une douleur persistante, intense, s’accompagnant d’un sentiment de détresse selon la définition de l’Organisation mondiale de la santé.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La gravité de l'évolution de la maladie doit aussi être rendue plausible par les éléments ressortant de l'étiologie et de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w:t>
      </w:r>
    </w:p>
    <w:p>
      <w:r>
        <w:t>A/3724/2018 - 12/26 - Pour déterminer les ressources de l’assuré, il convient d'établir s'il y a des comorbidités psychiatriques et somatiques. Un trouble dépressif réactionnel au trouble somatoforme peut être considéré comme une comorbidité psychiatrique. La structure de la personnalité de l’assuré constitue un indicateur pour évaluer ses ressources. Il faut tenir compte non seulement des formes classiques des diagnostics de la personnalité, mais également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Il faut prendre en compte les effets de l'environnement social. L’incapacité de travail ne doit pas être essentiellement le résultat de facteurs socio-culturels. Pour l'évaluation des ressources de l'assuré, il faut tenir compte de celles qu'il peut tirer de son environnement, notamment du soutien dont il bénéficie éventuellement dans son réseau social. Il convient encore d'examiner si les limitations sont uniformes dans tous les domaines de la vie et d’effectuer une comparaison des activités sociales avant et après la survenance de l’atteinte à la santé.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w:t>
      </w:r>
    </w:p>
    <w:p>
      <w:r>
        <w:t>A/3724/2018 - 13/26 -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 Aussi n'existe-t-il pas, en droit des assurances sociales, un principe selon lequel l'administration ou le juge devrait statuer, dans le doute, en faveur de l'assuré (ATF 126 V 319 consid. 5a).</w:t>
      </w:r>
    </w:p>
    <w:p>
      <w:r>
        <w:t>A/3724/2018 - 14/26 -</w:t>
      </w:r>
    </w:p>
    <w:p>
      <w:r>
        <w:rPr>
          <w:b/>
        </w:rPr>
        <w:t>E. 6</w:t>
      </w:r>
    </w:p>
    <w:p>
      <w:r>
        <w:t>Il convient en premier en lieu d’examiner la valeur probante de l’expertise de la Dresse I______.</w:t>
      </w:r>
    </w:p>
    <w:p>
      <w:r>
        <w:rPr>
          <w:b/>
        </w:rPr>
        <w:t>E. 6.1</w:t>
      </w:r>
    </w:p>
    <w:p>
      <w:r>
        <w:t>La chambre de céans constate que celle-ci est fondée notamment sur trois entretiens individuels avec la recourante, un bilan neuropsychologique et des entretiens avec ses médecins traitants. Elle est détaillée, bien motivée et l’experte a répondu à toutes les questions posées, y compris sur les indicateurs du Tribunal fédéral. Elle répond ainsi, de manière générale aux réquisits pour se voir reconnaître une pleine valeur probante.</w:t>
      </w:r>
    </w:p>
    <w:p>
      <w:r>
        <w:rPr>
          <w:b/>
        </w:rPr>
        <w:t>E. 6.2.1</w:t>
      </w:r>
    </w:p>
    <w:p>
      <w:r>
        <w:t>La recourante a fait valoir que la Dresse I______ avait fait preuve de trop de retenue par rapport aux constats faits par la Dresse H______ en 2017 et que, sous l’angle de la vraisemblance prépondérante, il fallait retenir une capacité de travail de 25% dès la fin du mois de mai 2017.</w:t>
      </w:r>
    </w:p>
    <w:p>
      <w:r>
        <w:rPr>
          <w:b/>
        </w:rPr>
        <w:t>E. 6.2.2</w:t>
      </w:r>
    </w:p>
    <w:p>
      <w:r>
        <w:t>La chambre de céans constate que l’experte a retenu, avec certitude, une capacité de travail de 25% dans toute activité dès le 4 décembre 2018. Pour la période courant de juin 2017 au 4 décembre 2018, il y avait un désaccord sur les constatations objectives. S’agissant de l’existence d’un ralentissement psychomoteur, les observations des experts du SMR ne concordaient pas avec celles des médecins traitants, ni avec l’hétéro-anamnèse. L’experte ne pouvait en conséquence se prononcer avec certitude pour la période courant de juin 2017 au 4 décembre 2018, n’ayant pas été présente au moment de l’évaluation par le SMR en septembre 2017. L’examen clinique effectué à ce moment semblait pratiquement normal. L’experte s’étonnait du fait que le Dr F______ ait constaté un ralentissement psychomoteur chez la recourante en mars 2016, puis que la Dresse H______, n’ait pas constaté un tel ralentissement en septembre 2017 et que celui-ci ait à nouveau été constaté en décembre 2018, lors de l’examen neuropsychologique des HUG. Actuellement, tant à l’examen neuropsychologique de Mme K______ que lors du status auquel avait procédé l’experte, ce ralentissement était présent. L’hétéro-anamnèse ne faisait pas mention d’une amélioration entre 2017 et 2018. L’experte ne savait pas comment interpréter ces éléments et avait décidé, en conséquence, de traiter le ralentissement psychomoteur comme un élément nouveau présent avec certitude depuis le 4 décembre 2018. Au vu des critiques faites par la chambre de céans dans son ordonnance d’expertise sur le rapport d’expertise établi par la Dresse H______ en 2017, il y a lieu de considérer que l’experte aurait pu s’éloigner des constats rapportés par celle-ci, qui ne sont pas convaincants. En effet, bien que la Dresse H______ avait relevé que la plupart du temps la recourante se sentait déprimée et fatiguée, que tout lui coûtait et rien ne lui était agréable, elle avait indiqué que la symptomatologie dépressive mentionnée par le Dr F______ était en rémission complète.</w:t>
      </w:r>
    </w:p>
    <w:p>
      <w:r>
        <w:t>A/3724/2018 - 15/26 - La motivation de la Dresse I______ permet de s’écarter des conclusions qu’elle a retenues, en se fondant sur les constats de la Dresse H______, qui ne sont pas convaincantes, et il se justifie de retenir comme établi, si ce n’est avec certitude, mais au degré de la vraisemblance prépondérante, que la recourante n’était déjà capable de travailler qu’à 25% dès septembre 2015 sur la base des constats du Dr F______, qui suivait alors l’assurée, selon ses rapports des 14 octobre 2015 et</w:t>
      </w:r>
    </w:p>
    <w:p>
      <w:r>
        <w:rPr>
          <w:b/>
        </w:rPr>
        <w:t>E. 6.3.1</w:t>
      </w:r>
    </w:p>
    <w:p>
      <w:r>
        <w:t>Le SMR a fait valoir que selon le rapport d’examen neuropsychologique, deux épreuves de validité des symptômes avaient été effectuées et qu’au cours de l’examen, de nombreux résultats suspects d’une majoration des symptômes étaient ressortis, qui s’ajoutaient à des comportements pouvant exprimer un manque de participation active. Sur cette base, le SMR s’est étonné du fait que l’experte psychiatre n’ait pas retenu le diagnostic de majoration des symptômes physiques pour raison psychologique, sans examiner plus avant si les critères diagnostiques étaient réalisés.</w:t>
      </w:r>
    </w:p>
    <w:p>
      <w:r>
        <w:rPr>
          <w:b/>
        </w:rPr>
        <w:t>E. 6.3.2</w:t>
      </w:r>
    </w:p>
    <w:p>
      <w:r>
        <w:t>Cette critique ne remet pas sérieusement en cause les conclusions de l’experte. En effet, celle-ci a indiqué dans sa motivation qu’il n’était pas possible de dire avec certitude pourquoi les tests de validation étaient altérés, mais que cela pouvait être dû à une anxiété importante de l’assurée, avec des difficultés à effectuer certaines tâches, dont les examens neuropsychologiques. L’experte a ensuite précisé que l’assurée ne surjouait pas et avait plutôt tendance à se replier dans un coin. Les signes d’anxiété qu’elle montrait et ses pleurs semblaient authentiques et correspondaient aux sujets évoqués, dont la séropositivité. Lors des entretiens, elle avait présenté un tableau clinique cohérent et son médecin traitant avait fait les mêmes constatations, lors des visites ambulatoires de l’assurée. Il n’y avait donc aucun élément clinique en faveur d’une simulation, en dépit des tests de validation altérés. L’experte a ainsi commenté les causes de l’altération des tests et exclu une majoration des symptômes, ce qui explique le fait qu’elle n’ait pas examiné les critères du diagnostic de majoration des symptômes physiques pour raison psychologique, qui n’entrait pas en ligne de compte pour elle.</w:t>
      </w:r>
    </w:p>
    <w:p>
      <w:r>
        <w:rPr>
          <w:b/>
        </w:rPr>
        <w:t>E. 6.4.1</w:t>
      </w:r>
    </w:p>
    <w:p>
      <w:r>
        <w:t>Selon le SMR, la Dresse I______ dépassait son champ de compétence en retenant une incapacité de travail sur le plan neuropsychologique de 50 à 70% alors que la neuropsychologue spécialiste n’avait pas été capable de le faire en raison d’une exagération consciente des plaintes.</w:t>
      </w:r>
    </w:p>
    <w:p>
      <w:r>
        <w:t>A/3724/2018 - 16/26 -</w:t>
      </w:r>
    </w:p>
    <w:p>
      <w:r>
        <w:rPr>
          <w:b/>
        </w:rPr>
        <w:t>E. 6.4.2</w:t>
      </w:r>
    </w:p>
    <w:p>
      <w:r>
        <w:t>Comme l’a relevé à juste titre la recourante, l’experte n’a pas retenu une incapacité de travail de 50 à 70% sur le plan neuropsychologique, mais elle a évalué sa capacité de travail en lien avec le diagnostic de trouble dépressif récurrent, épisode actuel moyen, sans syndrome somatique (F33.10), sans tenir compte des troubles cognitifs qui ne pouvaient être évalué avec certitude en raison des tests de validations altérés. L’experte s’est seulement référée au rapport d’évaluation neuropsychologique, en tant qu’il constatait un ralentissement psychomoteur de la recourante. L’experte a ensuite correctement évalué la capacité de travail de la recourante, en analysant sa situation en lien avec les indicateurs développés en la matière par le Tribunal fédéral. Il ressort de son analyse que certains des symptômes dont souffre l’assurée sont d’une gravité certaine, puisqu’ils excluaient d’emblée le diagnostic de dysthymie. L’annonce en 2010 de sa séropositivité semblait avoir représenté une menace de mort imminente pour l’assurée, qui avait des ressources intellectuelles pauvres et qui avait coupé depuis lors tout lien avec sa famille en Colombie et ses amis, par honte. Son estime de soi était nulle. Sa capacité fonctionnelle était significativement limitée au quotidien, ses tâches domestiques étant effectuées par sa fille. L’assurée avait été compliante dans sa thérapie, sans amendement de la symptomatologie. Tous les domaines de la vie étaient touchés et elle n’avait plus d’activité sociale. L’analyse des indicateurs par l’experte est convaincante et il convient de retenir qu’elle a ainsi correctement fixé la capacité de travail exigible de l’assurée, sous réserve du début de celle-ci, comme cela a déjà été examiné.</w:t>
      </w:r>
    </w:p>
    <w:p>
      <w:r>
        <w:rPr>
          <w:b/>
        </w:rPr>
        <w:t>E. 6.5.1</w:t>
      </w:r>
    </w:p>
    <w:p>
      <w:r>
        <w:t>L’intimé a relevé une incohérence « majeure » dans les propos de la recourante, à savoir que depuis 2010, c’était sa fille qui allait à la poste, faisait les courses et réchauffait les plats et faisait le ménage. Or la fille de la recourante était née le 20 juin 2005 et il n’était pas vraisemblable qu’à 4 ans et demi déjà, elle ait été en mesure d’effectuer l’ensemble de ces tâches. L’experte aurait dû confronter la recourante à ses propos.</w:t>
      </w:r>
    </w:p>
    <w:p>
      <w:r>
        <w:rPr>
          <w:b/>
        </w:rPr>
        <w:t>E. 6.5.2</w:t>
      </w:r>
    </w:p>
    <w:p>
      <w:r>
        <w:t>Dans la description de la journée type de la recourante faite par la Dresse I______, il est mentionné que sa fille, âgée de 15 ans, s’occupe des tâches domestiques. Si la recourante a effectivement indiqué à l’experte que depuis 2010, c’était sa fille qui allait à la poste, faisait les courses, réchauffait des plats et faisait le ménage, ce qui paraît effectivement peu vraisemblable sur l’ensemble de la période, il est en revanche établi qu’au moment de l’expertise la fille de la recourante faisait bien toutes ces tâches et probablement depuis quelques années. La légère incohérence dans les propos de la recourante, rapportés par l’experte, qui peut s’expliquer par les difficultés de communication de celle-ci décrites dans son rapport, ne suffit pas à remettre en cause ses conclusions.</w:t>
      </w:r>
    </w:p>
    <w:p>
      <w:r>
        <w:t>A/3724/2018 - 17/26 -</w:t>
      </w:r>
    </w:p>
    <w:p>
      <w:r>
        <w:rPr>
          <w:b/>
        </w:rPr>
        <w:t>E. 6.6</w:t>
      </w:r>
    </w:p>
    <w:p>
      <w:r>
        <w:t>Au vu des considérations qui précèdent, l’expertise de la Dresse I______ doit se voir reconnaître une pleine valeur probante, sous réserve de sa conclusion sur le début de la capacité de travail de 25%. 7. Il convient encore d’examiner la valeur probante de l’expertise Dr J______. 7.1 7.1.1 Le SMR a relevé une méconnaissance de l’expert des critères ACR 2016 pour poser le diagnostic de fibromyalgie, puisque celui-ci avait indiqué que ce diagnostic reposait sur la douleur, qui était une donnée purement anamnestique et donc subjective par définition. L’expert n’avait pas mentionné le nombre de zones positives de la recourante, ni les symptômes accompagnants. 7.1.2 La reconnaissance de l'existence d’une fibromyalgie suppose d'abord la présence d'un diagnostic émanant d’un rhumatologue s'appuyant lege artis sur les critères d'un système de classification reconnu (ATF 132 V 65 consid. 3.2).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7.1.3 Comme l’a relevé la recourante, le Dr J______ a expliqué, s’agissant du diagnostic de fibromyalgie (M79), qu’il n’y avait pas de critères de classification ni de description des diagnostics rhumatologiques dans le système CIM-10 ni de critères diagnostiques pour la fibromyalgie. Les cliniciens utilisaient souvent des critères de classification dont la valeur scientifique restait débattue et ceux-ci ne devaient pas être utilisés pour le diagnostic clinique, mais seulement pour inclure ou exclure des patients dans des études cliniques. Dans le cas de l’assurée, les critères de classification n’étaient pas remplis, car elle présentait d’autres diagnostics rhumatologiques pouvant causer des douleurs articulaires, notamment l’hyperlaxité et l’arthrose digitale. L’expert retenait le diagnostic de fibromyalgie</w:t>
      </w:r>
    </w:p>
    <w:p>
      <w:r>
        <w:t>A/3724/2018 - 18/26 - en raison des douleurs diffuses de l’assurée qui étaient trop importantes pour être dues uniquement aux diagnostics objectivables présents chez elle, ce qui impliquait une composante non organique pour expliquer la totalité du tableau douloureux. Il ressort de l’article de la revue médicale suisse citée par l’intimé (Liliana BELGRAND et Alexander SO, critères de diagnostics de la fibromyalgie, Revue médicale suisse, 2011, www.revmed.ch/revue-medicale-suisse/2011/revue- medicale-suisse-286/criteres-de-diagnostics-de-la-fibromyalgie) que plusieurs méthodes diagnostiques de la fibromyalgie sont actuellement admises et qu’il n’existe pas un gold standard pour le diagnostic de la fibromyalgie. L’alternative proposée récemment par les travaux de Wolfe et coll. et son application par Mease et coll. sur un large collectif de patients participant au National data bank for rheumatism desease apportent quelques améliorations dans le diagnostic, méthode qui a l’avantage de faciliter le suivi des fibromyalgiques en utilisant les échelles de sévérité des symptômes. Ces critères diagnostiques ne sont pas imposés dans l’utilisation actuelle, mais sont une alternative intéressante. L’examen clinique n’est pas nécessaire, mais cela ne facilite pas le travail du médecin, car le diagnostic de fibromyalgie demande une évaluation complète de la douleur, de la fonction et du contexte psychosocial de chaque malade. 7.1.4 En l’occurrence, les explications du Dr J______ sont convaincantes. Il n’a pas ignoré les critères de classification du diagnostic de fibromyalgie, mais précisé que ceux-ci n’étaient pas remplis dans le cas de la recourante et a justifié pour quels motifs il retenait néanmoins le diagnostic de fibromyalgie de façon détaillée et convaincante. 7.2 7.2.1 Le SMR a fait encore valoir que l’hyperlaxité était congénitale et que l’assurée était rentrée en Suisse avec cette atteinte, qui ne pouvait dès lors pas être prise en compte dans l’évaluation de la capacité de travail. 7.2.2 Selon la recourante, l’assurance-invalidité devait prendre en considération toutes les atteintes à la santé, qu’elle que soit leur date d’apparition. Si le SMR sous-entendait que cette maladie ne l’avait pas empêchée de travailler, cela n’impliquait pas encore que les limitations fonctionnelles entraînées par ce diagnostic n’avaient pas varié dans le temps. Au contraire, l’expert rhumatologue avait indiqué que la sédentarité contribuait à l’aggravation des arthralgies sur l’hyperlaxité, en aggravant le déconditionnement musculaire, notamment en ce qui concernait les genoux. Le fait qu’un assuré avait travaillé dans une profession inadaptée ne permettait pas de nier l’influence de l’atteinte à la santé sur la capacité de travail telle que déterminée médicalement, car elle s’était surmenée. 7.2.3 Conformément à l’art. 6 al. 2 LAI - qui vaut en tant que conditions générales en principe pour toutes les prestations de l’assurance-invalidité -, les étrangers ont droit aux prestations, sous réserve de l’art. 9 al. 3 (ressortissants étrangers de</w:t>
      </w:r>
    </w:p>
    <w:p>
      <w:r>
        <w:t>A/3724/2018 - 19/26 - moins de 20 ans), aussi longtemps qu’ils conservent leur domicile et leur résidence habituelle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Selon l’art. 4 al. 2 LAI, l’invalidité est réputée survenue dès qu’elle est, par sa nature et sa gravité, propre à ouvrir droit aux prestations entrant en considération. Selon la Circulaire sur l’invalidité et l’impotence dans l’assurance-invalidité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voir également arrêt du Tribunal fédéral 9C_697/2015 consid. 3.2; Michel VALTERIO, Commentaire, Loi fédérale sur l'assurance-invalidité (LAI), 2018, n. 3 ad art. 4 p.49 et 50). 7.2.4 En l’espèce, il faut d’abord relever que le grief soulevé par l’intimé n’est pas de nature à remettre en cause la valeur probante générale de l’expertise du Dr J______, car il est de nature juridique et non médicale. Par ailleurs, si l’hyperlaxité est congénitale et existait donc avant l’entrée en Suisse de la recourante, cela n’empêche pas que ce diagnostic soit susceptible de lui ouvrir un droit à une rente d’invalidité, car la survenance de l’invalidité ou du cas d’assurance n’est réalisée qu’au moment où une prestation de l’assurance- invalidité est indiquée objectivement pour la première fois. En l’occurrence, le diagnostic d’hyperlaxité n’avait pas d’impact sur la capacité de travail de la recourante avant son entrée en Suisse, à teneur du dossier, de sorte que l’on ne peut retenir que la survenance du cas d’invalidité ou du cas d’assurance est intervenue avant l’entrée de la recourante en Suisse.</w:t>
      </w:r>
    </w:p>
    <w:p>
      <w:r>
        <w:t>A/3724/2018 - 20/26 - Selon l’expert J______, c’est la fibromyalgie qui est le diagnostic principal limitant la gestion du quotidien de la recourante du point de vue rhumatologique. Les experts ont retenu de façon consensuelle une capacité de travail adaptée de 80% de fin 2010 au 4 décembre 2018 avec une baisse de rendement de 20% au maximum en raison de la fibromyalgie, et sans baisse de la capacité de travail en raison de l’hyperlaxité. Dès le 4 décembre 2018, c’était les limitations psychiatriques qui prédominaient et il n’y avait pas de baisse de capacité de travail horaire ni de rendement surajoutée par les diagnostics rhumatologiques. Ainsi, le diagnostic d’hyperlaxité n’est pas relevant dans la capacité de travail dans une activité adaptée retenue par l’intimé. 7.3 7.3.1 L’intimé a fait valoir que le fait que l’expert rhumatologue ne concluait pas formellement à une incapacité totale de travail dans l’activité de nettoyeuse, mais à une capacité de 60%, alors qu’il avait noté que sur le plan médical cette activité était inadaptée à l’hyperlaxité articulaire en raison des ports de charges et des gestes répétitifs qui pouvaient entrainer des douleurs, était incohérent. L’activité de nettoyeuse, en tant qu’elle pouvait entrainer des douleurs, ne pouvait être considérée comme adaptée, ce d’autant plus que l’hyperlaxité touchait tant les mains que les genoux de la recourante. 7.3.2 Les conclusions de l’expert rhumatologue n’apparaissent pas incohérentes, dans la mesure où il a retenu une capacité de travail totale dans une activité adaptée sur le plan rhumatologique, avec une diminution de rendement de 20%, en raison de la fatigabilité causée par les douleurs de la fibromyalgie. L’expert a manifestement considéré que l’activité de nettoyeuse n’était pas adaptée, en retenant pour celle-ci une capacité de 60%, en raison du diagnostic d’hyperlaxité articulaire. Il n’est pas nécessaire que l’incapacité soit totale pour retenir qu’une activité n’est pas adaptée, il suffit qu’elle soit plus importante que la capacité de travail exigible dans une activité plus adaptée. 7.4 Au vu des considérations qui précèdent, l’expertise du Dr J______ doit se voir reconnaître une pleine valeur probante.</w:t>
      </w:r>
    </w:p>
    <w:p>
      <w:r>
        <w:rPr>
          <w:b/>
        </w:rPr>
        <w:t>E. 8</w:t>
      </w:r>
    </w:p>
    <w:p>
      <w:r>
        <w:t>La recourante fait valoir qu’un statut d’active doit lui être reconnu et non un statut mixte.</w:t>
      </w:r>
    </w:p>
    <w:p>
      <w:r>
        <w:rPr>
          <w:b/>
        </w:rPr>
        <w:t>E. 8.1.1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w:t>
      </w:r>
    </w:p>
    <w:p>
      <w:r>
        <w:t>A/3724/2018 - 21/26 -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8.2.1</w:t>
      </w:r>
    </w:p>
    <w:p>
      <w:r>
        <w:t>L’intimé a retenu, selon une note du 9 octobre 2017, que la recourante avait un statut mixte avec une part de 70% pour la part professionnelle et une part de 30% pour les travaux habituels, sur la base du fait qu’elle travaillait à 25% depuis le 13 septembre 2012, qu'elle était inscrite au chômage depuis le 14 août 2009 à un taux de 100% et qu'elle avait déjà une atteinte à sa santé dès 2010, qui n’était pas invalidante, mais pouvait expliquer en partie une baisse du taux professionnel.</w:t>
      </w:r>
    </w:p>
    <w:p>
      <w:r>
        <w:rPr>
          <w:b/>
        </w:rPr>
        <w:t>E. 8.2.2</w:t>
      </w:r>
    </w:p>
    <w:p>
      <w:r>
        <w:t>Dans son recours, la recourante a fait valoir que l’intimé n’avait pas investigué la question de savoir si le temps de travail partiel était lié à un choix personnel ou à une contrainte de santé. Avant son travail auprès de la société, elle travaillait pour la Fondation C______ en tant que femme de chambre à 80%, ce qui correspondait aux besoins de son employeur. Elle aurait aimé travailler à plein temps, mais son employeur n’avait pas de poste à lui offrir à ce taux. C’était pour cette raison qu’elle travaillait en parallèle pour d’autres employeurs afin de compléter ses revenus et être occupée à 100%. Elle avait été licenciée par la Fondation C______ à cause de ses problèmes de santé, car elle ne pouvait pas exercer son activité de ménage. Elle s’était ensuite inscrite au chômage à 100% et avait finalement trouvé un emploi à temps partiel auprès de la société, qu’elle avait dû se résigner à accepter pour cause d’impossibilité de travailler plus compte</w:t>
      </w:r>
    </w:p>
    <w:p>
      <w:r>
        <w:t>A/3724/2018 - 22/26 - tenu de ses douleurs. Cette diminution progressive de son activité professionnelle avait été abordée par les médecins spécialistes de la consultation ambulatoire de la douleur. Elle a déclaré à la chambre de céans que si sa santé le lui permettait, elle travaillerait à 100%. Avant d'être en arrêt de travail, elle travaillait à 90% ou 100%. Elle avait eu deux emplois réguliers du lundi au vendredi. Après trois ans d'emploi à la Fondation C______, elle avait commencé à se sentir mal d'effectuer les deux emplois en parallèle. Elle n'avait pas cherché du travail supplémentaire à celui qu'elle effectuait pour son dernier employeur à cause de son état de santé. Elle avait pu travailler de 2012 à 2015, mais c'était difficile, les douleurs ayant augmenté progressivement. En arrêt de travail depuis 2015, son état dépressif et sa fatigue étaient devenus beaucoup plus importants en raison des traitements qu'elle prenait pour la dépression et le VIH. Elle a également déclaré qu’elle était séparée depuis 2009 et qu’elle recevait une pension de CHF 1'300.- pour sa fille, son ex- mari ne pouvant pas lui verser la totalité de la contribution d'entretien de CHF 2'100.-.</w:t>
      </w:r>
    </w:p>
    <w:p>
      <w:r>
        <w:rPr>
          <w:b/>
        </w:rPr>
        <w:t>E. 8.2.3</w:t>
      </w:r>
    </w:p>
    <w:p>
      <w:r>
        <w:t>En l’espèce, il convient de relever que l’intimé a tranché la question du statut sans interpeller l’assurée à ce sujet. Celle-ci a clairement déclaré à la chambre de céans que sans atteinte dans sa santé, elle travaillerait à 100%. Il ressort de son compte individuel que de 2006 à fin 2008, elle a obtenu des revenus de la Fondation C______ et de B______SA, ce qui corrobore ses déclarations selon lesquelles elle a cherché durant ces années à compléter les revenus obtenus de la Fondation C______ et à travailler à 100%. Elle s’est en outre inscrite à 100% à l’OCE en 2009, ce qui atteste de cette volonté. Le fait qu’elle était séparée depuis 2019 et qu’elle ne recevait qu’une partie de la contribution d’entretien due par son ex-mari rend cette volonté d’autant plus crédible. Enfin, il ressort du dossier que l’assurée a quitté son emploi à la Fondation C______, car elle ne pouvait plus l’assumer en raison de son état de santé et qu’à partir de là, elle n’a plus travailler à plein temps pour ce motif. Au vu des considérations qui précèdent, il convient de retenir que le dossier contient assez d’éléments objectifs permettant de retenir un statut d’active pour la recourante.</w:t>
      </w:r>
    </w:p>
    <w:p>
      <w:r>
        <w:rPr>
          <w:b/>
        </w:rPr>
        <w:t>E. 9</w:t>
      </w:r>
    </w:p>
    <w:p>
      <w:r>
        <w:t>Il faut en conséquence établir le taux d’invalidité dès le mois de septembre 2017, en tenant compte d’une capacité de travail de 25% dès le 1er septembre 2015, selon l’appréciation faite par la chambre de céans des conclusions de l’experte I______.</w:t>
      </w:r>
    </w:p>
    <w:p>
      <w:r>
        <w:rPr>
          <w:b/>
        </w:rPr>
        <w:t>E. 9.1.1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A/3724/2018 - 23/26 -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9.1.2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9.1.3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w:t>
      </w:r>
    </w:p>
    <w:p>
      <w:r>
        <w:t>A/3724/2018 - 24/26 -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 26 octobre 2018 (étant précisé que le tableau T1_tirage_skill_level a été corrigé le 8 novembre 2018) ; et l’ESS 2014, le 15 avril 2016.</w:t>
      </w:r>
    </w:p>
    <w:p>
      <w:r>
        <w:rPr>
          <w:b/>
        </w:rPr>
        <w:t>E. 9.2</w:t>
      </w:r>
    </w:p>
    <w:p>
      <w:r>
        <w:t>En l’espèce, il y a lieu de prendre en compte comme salaire sans invalidité, celui obtenu par la recourante dans son dernier emploi, soit un salaire horaire total, comprenant l’indemnité de vacances et la gratification de CHF 21.93 en 2012, ce qui correspond à un salaire annuel de CHF 45'614.- pour 40 heures par semaine et à CHF 46'984.- indexé à 2016. Pour le salaire avec invalidité, il convient de se référer aux ESS 2016, soit un revenu mensuel de CHF 4'363.- pour une activité simple et répétitive, avec un niveau de compétence 1 (ligne total TA1_tirage_skill_level pour une femme), soit un revenu annuel de CHF 52'356.- et CHF 13'089.- à 25%, sans abattement, les conditions pour en tenir compte n’étant pas remplies. En comparant les revenus avec et sans invalidité, on obtient un taux d’invalidité de 72%. Il en résulte que la recourante a droit à une rente d’invalidité complète (art. 28 al. 2 LAI) dès le 1er septembre 2016, sans interruption le 31 août 2017.</w:t>
      </w:r>
    </w:p>
    <w:p>
      <w:r>
        <w:rPr>
          <w:b/>
        </w:rPr>
        <w:t>E. 10.1</w:t>
      </w:r>
    </w:p>
    <w:p>
      <w:r>
        <w:t>Au vu de ce qui précède, le recours sera admis et la décision du 25 septembre 2018 sera réformée dans le sens qui précède.</w:t>
      </w:r>
    </w:p>
    <w:p>
      <w:r>
        <w:t>A/3724/2018 - 25/26 -</w:t>
      </w:r>
    </w:p>
    <w:p>
      <w:r>
        <w:rPr>
          <w:b/>
        </w:rPr>
        <w:t>E. 10.2</w:t>
      </w:r>
    </w:p>
    <w:p>
      <w:r>
        <w:t>La recourante obtenant gain de cause, une indemnité de CHF 2'500.- lui sera accordée à titre de participation à ses frais et dépens, à charge de l’intimé (art. 61 let. g LPGA; art. 6 du règlement sur les frais, émoluments et indemnités en matière administrative du 30 juillet 1986 [RFPA - E 5 10.03]).</w:t>
      </w:r>
    </w:p>
    <w:p>
      <w:r>
        <w:rPr>
          <w:b/>
        </w:rPr>
        <w:t>E. 10.3</w:t>
      </w:r>
    </w:p>
    <w:p>
      <w:r>
        <w:t>Un émolument de CHF 200.- sera mis à la charge de l’intimé (art. 69 al. 1bis LAI).</w:t>
      </w:r>
    </w:p>
    <w:p>
      <w:r>
        <w:rPr>
          <w:b/>
        </w:rPr>
        <w:t>E. 10.4</w:t>
      </w:r>
    </w:p>
    <w:p>
      <w:r>
        <w:t>Les frais qui découlent de la mise en œuvre d'une expertise judiciaire peuvent être mis à la charge de l'assureur (cf.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t>En l’espèce, une expertise judiciaire a été ordonnée par la chambre de céans, qui a considéré que cette mesure d’instruction était nécessaire, faute de valeur probante suffisante de l’expertise du SMR. Il se justifie, en conséquence, de mettre les frais de l’expertise à la charge de l’intimé.</w:t>
      </w:r>
    </w:p>
    <w:p>
      <w:r>
        <w:t>A/3724/2018 - 26/26 -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