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ATAS/487/2020 vom 17. Juni 2020</w:t>
      </w:r>
    </w:p>
    <w:p>
      <w:r>
        <w:t>GE Cour de justice, 2020-06-17, FR</w:t>
      </w:r>
    </w:p>
    <w:p>
      <w:r>
        <w:rPr>
          <w:b/>
        </w:rPr>
        <w:t xml:space="preserve">Quelle: </w:t>
      </w:r>
      <w:r>
        <w:t>https://mcp.opencaselaw.ch/entscheid/ge_gerichte_ATAS_487_2020</w:t>
      </w:r>
    </w:p>
    <w:p>
      <w:r>
        <w:t>FR: GE_GERICHTE ATAS/487/2020 du 17 juin 2020</w:t>
      </w:r>
    </w:p>
    <w:p>
      <w:r>
        <w:t>IT: GE_GERICHTE ATAS/487/2020 del 17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a. Il s'agit en l'occurrence d'examiner la recevabilité du recours. b. 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 a) du 7e jour avant Pâques au 7e jour après Pâques inclusivement; b) du 15 juillet au 15 août inclusivement; c) du 18 décembre au 2 janvier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A/1054/2020 - 5/7 -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 c. En l'occurrence, l'intimé a prouvé avoir valablement notifié sa décision, en application de la fiction légale prévue par les art. 38 al. 2bis LPGA et 62 al. 4 LPA, en produisant l'enveloppe ayant contenu la décision querellée ainsi qu’un extrait de suivi des envois de La Poste, dont il ressort que le pli contenant la décision en cause lui a été retourné, du fait qu’il n’avait pas été réclamé à l’échéance du délai de garde, lequel est de sept jours pour les plis recommandés. Le fait que le recourant avait fait garder son courrier en poste restante ne fait pas obstacle à la fiction légale de la notification après l'échéance du délai de garde de sept jours, selon la jurisprudence précitée.</w:t>
      </w:r>
    </w:p>
    <w:p>
      <w:r>
        <w:t>A/1054/2020 - 6/7 - Le recourant a allégué avoir reçu des courriers datés des 25, 26 et 28 février 2020, ce qui n’est pas déterminant dans le cas d’espèce. En effet, le pli en cause a été transmis le 7 février 2020 à la poste de Thônex pour retrait. Il aurait donc dû être retiré jusqu’au 14 février 2020. Ce n’est que si le recourant avait démontré avoir reçu d’autres courriers en poste restante entre le 7 et le 14 février 2020 que l’on aurait pu avoir des doutes sur le fonctionnement de la poste. En conclusion, la décision est réputée avoir été notifiée au recourant le dernier jour du délai de garde, soit le 14 février 2020 et le délai de recours se terminait le 16 mars 2016. Interjeté le 30 mars 2020, le recours est tardif.</w:t>
      </w:r>
    </w:p>
    <w:p>
      <w:r>
        <w:rPr>
          <w:b/>
        </w:rPr>
        <w:t>E. 4</w:t>
      </w:r>
    </w:p>
    <w:p>
      <w:r>
        <w:t>a.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b. En l’espèce, le recourant ne démontre pas qu'il aurait été empêché, sans faute de sa part, de recourir, les pièces produites établissant, au degré de la vraisemblance prépondérante que le pli qui lui a été adressé le 6 février 2020 a été envoyé en poste restante, prêt au retrait à l’office de poste de Thônex le 7 février 2020 et retourné à l’expéditeur le 9 mars suivant.</w:t>
      </w:r>
    </w:p>
    <w:p>
      <w:r>
        <w:rPr>
          <w:b/>
        </w:rPr>
        <w:t>E. 5</w:t>
      </w:r>
    </w:p>
    <w:p>
      <w:r>
        <w:t>En l'absence de motif valable de restitution de délai, le recours sera déclaré irrecevable pour cause de tardiveté.</w:t>
      </w:r>
    </w:p>
    <w:p>
      <w:r>
        <w:rPr>
          <w:b/>
        </w:rPr>
        <w:t>E. 6</w:t>
      </w:r>
    </w:p>
    <w:p>
      <w:r>
        <w:t>La procédure est gratuite (art. 61 let. a LPGA).</w:t>
      </w:r>
    </w:p>
    <w:p>
      <w:r>
        <w:t>A/1054/2020 - 7/7 -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