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ATAS/487/2014 vom 9. April 2014</w:t>
      </w:r>
    </w:p>
    <w:p>
      <w:r>
        <w:t>GE Cour de justice, 2014-04-09, FR</w:t>
      </w:r>
    </w:p>
    <w:p>
      <w:r>
        <w:rPr>
          <w:b/>
        </w:rPr>
        <w:t xml:space="preserve">Quelle: </w:t>
      </w:r>
      <w:r>
        <w:t>https://mcp.opencaselaw.ch/entscheid/ge_gerichte_ATAS_487_2014</w:t>
      </w:r>
    </w:p>
    <w:p>
      <w:r>
        <w:t>FR: GE_GERICHTE ATAS/487/2014 du 9 avril 2014</w:t>
      </w:r>
    </w:p>
    <w:p>
      <w:r>
        <w:t>IT: GE_GERICHTE ATAS/487/2014 del 9 aprile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A/1394/2013 - 10/18 -</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3.3</w:t>
      </w:r>
    </w:p>
    <w:p>
      <w:r>
        <w:t>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w:t>
      </w:r>
    </w:p>
    <w:p>
      <w:r>
        <w:t>A/1394/2013 - 15/18 -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l'amélioration de l'état de santé de l'assuré au-delà du 31 décembre 2011, sur son droit de l'assuré à une rente d'invalidité, singulièrement sur sa capacité de travail résiduelle.</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L’art. 17 al. 1er LPGA dispose que si le taux d’invalidité du bénéficiaire de la rente subit une modification notable, la rente est, d’office ou sur demande, révisée pour l’avenir, à savoir augmentée ou réduite en conséquence, ou encore supprimée. Il</w:t>
      </w:r>
    </w:p>
    <w:p>
      <w:r>
        <w:t>A/1394/2013 - 11/18 -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w:t>
      </w:r>
    </w:p>
    <w:p>
      <w:r>
        <w:rPr>
          <w:b/>
        </w:rPr>
        <w:t>E. 7</w:t>
      </w:r>
    </w:p>
    <w:p>
      <w:r>
        <w:t>Est réputée invalidité, l'incapacité de gain totale ou partielle présumée permanente ou de longue durée, résultant d'une infirmité congénitale, d'une maladie ou d'un</w:t>
      </w:r>
    </w:p>
    <w:p>
      <w:r>
        <w:t>A/1394/2013 - 12/18 - accident (art. 8 al. 1 LPGA et 4 al. 1 LAI).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6 LPGA).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w:t>
      </w:r>
    </w:p>
    <w:p>
      <w:r>
        <w:t>A/1394/2013 - 13/18 -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10</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w:t>
      </w:r>
    </w:p>
    <w:p>
      <w:r>
        <w:t>A/1394/2013 - 14/18 - d’une période de six mois à compter de la date à laquelle l’assuré a fait valoir son droit aux prestations conformément à l’art. 29 al. 1 LPGA.</w:t>
      </w:r>
    </w:p>
    <w:p>
      <w:r>
        <w:rPr>
          <w:b/>
        </w:rPr>
        <w:t>E. 11</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w:t>
      </w:r>
    </w:p>
    <w:p>
      <w:r>
        <w:rPr>
          <w:b/>
        </w:rPr>
        <w:t>E. 12</w:t>
      </w:r>
    </w:p>
    <w:p>
      <w:r>
        <w:t>En l'espèce, l'OAI s'est fondé sur l'expertise du Dr C__________, qui considère que l'assuré a recouvré une pleine capacité de travail dès le 1er janvier 2012, pour supprimer toute rente d'invalidité dès le 1er mars 2012. Se fondant sur les derniers avis du SMR, l'OAI retient que l'assuré a, à nouveau, été totalement incapable de travailler dès le mois de décembre 2012. Les deux parties, le SMR et le psychiatre traitant reconnaissent que l'assuré dispose d'une capacité de travail de 50% dans une activité adaptée dès le 1er juin 2013. Le litige est donc limité à la capacité de travail de l'assuré du 1er janvier au 31 décembre 2012. En premier lieu, l’expertise du Dr C__________ ne peut absolument pas se voir reconnaître pleine valeur probante. L’anamnèse est incomplète et pleine d’erreurs, concernant le parcours professionnel de l’assuré, les postes à responsabilité assumés, le début des difficultés liées à la connaissance de la grave maladie de sa fille née en 2000, etc. Le ton de l’expertise est péjoratif, l’expert émet des jugements de valeur et il se fonde sur son appréciation subjective et personnelle. L’assuré n’a été entendu qu’à une reprise durant 2 heures et il n’a pas eu l’occasion de décrire les difficultés rencontrées au-delà de l’année 2002, alors que son état de santé s’est aggravé ultérieurement et que c’est depuis 2009 que son incapacité de travail est mise en avant par les médecins psychiatres. L’expert n’a pas jugé utile de contacter les psychiatres qui ont suivi l’assuré, ce qui lui aurait évité de commettre des erreurs, d’une part, quant au fait que les médecins étaient bien des psychiatres</w:t>
      </w:r>
    </w:p>
    <w:p>
      <w:r>
        <w:t>A/1394/2013 - 16/18 - et non pas des spécialistes en médecine interne et quant au fait que l’assuré aurait interrompu tout suivi durant une période. Le diagnostic retenu d’état dépressif majeur « sub-clinique » ne semble pas répertorié. L’expert a fait passer des tests psychométriques en français à l’assuré, langue qu’il ne maîtrise manifestement pas suffisamment, pour ensuite dévaloriser les résultats obtenus, sans raison. S’agissant de ses conclusions, l’expert se contente de mentionner que l’on peut comprendre que l’assuré ait présenté une réaction émotionnelle aigüe ayant nécessité une prise en charge d’urgence au CTB d’avril à juin 2010, sans exposer ni pourquoi l’état dépressif sévère alors retenu par le Dr O_________ serait difficile à comprendre ni précisément depuis quand l’état de santé se serait amélioré au point de permettre une pleine capacité de travail et sans expliquer pourquoi cette amélioration daterait du 1er janvier 2012. Ce n’est donc pas sur la base de l’expertise du Dr C__________ que l’on peut déterminer si et dans quelle mesure l’état de santé de l’assuré s’est amélioré dès le 1er janvier 2012. Les rapports médicaux du Dr E__________ sont détaillés et circonstanciés. Il a au surplus répondu précisément aux questions posées par la Cour. Il a détaillé le status, précisé les limitations fonctionnelles et précisément motivé les raisons pour lesquelles l'assuré était resté totalement incapable de travailler jusqu’au 1er juin 2013. A cet égard, et contrairement à ce que soutient le SMR, le Dr E__________ n’a pas fait état d’une aggravation dès le 1er décembre 2012, cette date correspondant uniquement à celle à partir de laquelle il a personnellement suivi l’assuré. Il ressort cependant des pièces du dossier et de la dernière attestation du Dr E__________, que l’assuré a été continuellement suivi par le Service de psychiatrie des HUG, dès la première prise en charge de crise, datant de septembre 2009. Après la deuxième prise en charge de crise, entre avril et juin 2010, l’assuré a été suivi par le Dr A__________ puis la Dresse H__________, puis la Dresse I__________, sans interruption, jusqu’à la reprise du suivi par le Dr E__________ en décembre 2012. A aucun moment, les psychiatres des HUG n’ont mentionné d’amélioration notable, permettant une reprise même partielle du travail, ni d’aggravation d’ailleurs, entre novembre 2010 et décembre 2012. Le suivi a été régulier, l’assuré a été compliant, le type de traitement a dû être adapté après l’échec d’une première thérapie en 2009 au CTB, puis au gré des années qui ont suivi. Les conclusions du Dr E__________ sont fondées non seulement sur les plaintes du patient, mais surtout sur ses constations objectives, s’agissant de l’importante perte pondérale, de l’incapacité de l’assuré à gérer son administration, de la nécessité d’une prise en charge par l’assistante sociale des HUG, ne serait-ce que pour faire le lien avec l’Hospice général pour aboutir à une curatelle volontaire en juin 2012 seulement. Il ressort également du status que l’assuré avait une hygiène et une tenue négligées, qu’il avait un discours peu clair, avec une thymie abaissée, une perte de l’élan vital, des idées noires présentes en permanence, un sentiment d’incapacité et d’inutilité, un sommeil perturbé. La comparaison des status du Dr A__________, du Dr E__________ et de la Dresse P_________, liée</w:t>
      </w:r>
    </w:p>
    <w:p>
      <w:r>
        <w:t>A/1394/2013 - 17/18 - au fait que le suivi n’a jamais été interrompu entretemps, démontrent que l’assuré n’a jamais été en rémission complète. Ainsi, la Cour estime qu’il est établi, au degré de la vraisemblance prépondérante, que l’assuré n’a pas recouvré une capacité de travail, même partielle, entre le 1er janvier et le 31 décembre 2012, qui aurait justifié la suppression voire même la réduction de la rente d’invalidité octroyée. C’est d’ailleurs au milieu de cette période que l’assuré a été mis sous curatelle volontaire, sur la base notamment d’un certificat médical de la Dresse H__________, comme cela ressort de l’ordonnance du Tribunal tutélaire. On ne conçoit pas qu’un assuré – au bénéfice d'une formation supérieure et ayant assumé des fonctions à responsabilité - totalement incapable de s’occuper de son administration, soit en mesure, même partiellement, de soutenir un entretien d’embauche et de travailler, même comme secrétaire ou dans le classement. La situation médicale de l’assuré étant clairement établie sur la base des rapports médicaux du Service de psychiatrie des HUG, il n’est pas nécessaire d’ordonner une expertise judiciaire. C'est donc à tort que l'OAI a supprimé toute rente à l'assuré dès le 1er mars 2012. Par contre, l'octroi de la rente dès le 1er décembre 2011, soit 6 mois après le dépôt de la demande le 1er juin 2011, est conforme à la loi.</w:t>
      </w:r>
    </w:p>
    <w:p>
      <w:r>
        <w:rPr>
          <w:b/>
        </w:rPr>
        <w:t>E. 13</w:t>
      </w:r>
    </w:p>
    <w:p>
      <w:r>
        <w:t>Le recours, bien fondé est donc admis et la décision du 21 mars 2013 est annulée en tant qu'elle supprime toute rente d'invalidité dès le 1er mars 2012. L'assuré a droit à une rente d'invalidité entière du 1er décembre 2011 au 1er septembre 2013, soit trois mois après l'amélioration de l'état de santé dès le 1er juin 2013. Pour la période allant au-delà du 1er septembre 2013, la cause est renvoyée à l'OAI pour détermination du revenu d'invalide dans une activité adaptée à 50% et détermination du taux d'invalidité puis le cas échéant pour l'octroi rapide de mesure de réadaptation, si elles devaient tendre à un reclassement dans l'enseignement et/ou d'une rente d'invalidité. L'émolument est mis à la charge de l'intimé, qui succombe.</w:t>
      </w:r>
    </w:p>
    <w:p>
      <w:r>
        <w:t>A/1394/2013 - 18/18 -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