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ATAS/487/2011 vom 17. Mai 2011</w:t>
      </w:r>
    </w:p>
    <w:p>
      <w:r>
        <w:t>GE Cour de justice, 2011-05-17, FR</w:t>
      </w:r>
    </w:p>
    <w:p>
      <w:r>
        <w:rPr>
          <w:b/>
        </w:rPr>
        <w:t xml:space="preserve">Quelle: </w:t>
      </w:r>
      <w:r>
        <w:t>https://mcp.opencaselaw.ch/entscheid/ge_gerichte_ATAS_487_2011</w:t>
      </w:r>
    </w:p>
    <w:p>
      <w:r>
        <w:t>FR: GE_GERICHTE ATAS/487/2011 du 17 mai 2011</w:t>
      </w:r>
    </w:p>
    <w:p>
      <w:r>
        <w:t>IT: GE_GERICHTE ATAS/487/2011 del 17 maggio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la question de savoir si la rémunération versée à l'appelé en cause en 2005 relève de l'activité salariée ou indépendante.</w:t>
      </w:r>
    </w:p>
    <w:p>
      <w:r>
        <w:rPr>
          <w:b/>
        </w:rPr>
        <w:t>E. 4</w:t>
      </w:r>
    </w:p>
    <w:p>
      <w:r>
        <w:t>Aux termes de l'art. 5 al. 2 LAVS, "Le salaire déterminant comprend toute rémunération pour un travail dépendant, fourni pour un temps déterminé ou indéterminé. Il englobe les allocations de</w:t>
      </w:r>
    </w:p>
    <w:p>
      <w:r>
        <w:t>A/2666/2010 - 5/9 -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rPr>
          <w:b/>
        </w:rPr>
        <w:t>E. 5</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c. La notion de dépendance englobe les rapports créés par un contrat de travail, mais elle les déborde largement. Ce n'est pas la nature juridique, en droit des obligations, du lien établi entre les parties, mais l'ensemble des circonstances</w:t>
      </w:r>
    </w:p>
    <w:p>
      <w:r>
        <w:t>A/2666/2010 - 6/9 -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w:t>
      </w:r>
    </w:p>
    <w:p>
      <w:r>
        <w:rPr>
          <w:b/>
        </w:rPr>
        <w:t>E. 6</w:t>
      </w:r>
    </w:p>
    <w:p>
      <w:r>
        <w:t>Selon les directives de l'Office fédéral des assurances sociales concernant les indépendants et les non actifs : Une activité indépendante doit être admise lorsqu’au moins une des caractéristiques principales suivantes est prouvée : - Existence d’une organisation d’entreprise. Tel est le cas lorsque - il y a un atelier équipé d’installations et de machines en usage dans la branche, ou - d’importants moyens d’exploitation appartenant au tâcheron ou loués par lui, ou - le matériel utilisé est fourni par le tâcheron lui-même, ou - en règle générale, le tâcheron dispose de plusieurs équipes d’ouvriers différentes travaillant simultanément sur divers chantiers. - Prise en charge régulière de travaux adjugés directement par des tiers (propriétaire de l’ouvrage, maître d’ouvrage, architecte, etc.).</w:t>
      </w:r>
    </w:p>
    <w:p>
      <w:r>
        <w:t>A/2666/2010 - 7/9 - Peuvent à cet égard servir d’indices: - réclame dans les journaux; contrat d’entreprise; établissement d’offres et de factures; fourniture de garanties; acceptation par contrat de la responsabilité pour risques et dommages fortuits (art. 376 CO). En cas de doute, c’est-à-dire lorsqu’aucune caractéristique principale n’existe clairement, les caractéristiques auxiliaires suivantes peuvent être déterminantes : - inscription au Registre du commerce; - conclusion d’un contrat d’assurance-accidents; - conclusion d’un contrat d’assurance couvrant la responsabilité civile de l’entreprise; - qualité de membre d’une association professionnelle d’artisans; - emploi de papier à lettre avec en-tête, enseigne publicitaire de l’entreprise ou autres, inscription en tant qu’entreprises dans l’annuaire des adresses, téléphonique ou autres. (DIN nos 4045 à 4050)</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Dans son recours, l'administrateur de la société a expliqué que l'appelé en cause avait occasionnellement travaillé pour la société par l'intermédiaire de différentes sociétés. Or, sur le compte 30600 de la société intitulé "Travaux tiers", seule figure la mention "Facture A__________".</w:t>
      </w:r>
    </w:p>
    <w:p>
      <w:r>
        <w:t>A/2666/2010 - 8/9 - Il a par ailleurs admis que l'appelé en cause avait travaillé en qualité de sous- traitant. Or, un sous-traitant est considéré, au regard de l'AVS, comme un salarié, à moins qu'il ne soit prouvé qu'il ait une organisation d'entreprises.</w:t>
      </w:r>
    </w:p>
    <w:p>
      <w:r>
        <w:rPr>
          <w:b/>
        </w:rPr>
        <w:t>E. 10</w:t>
      </w:r>
    </w:p>
    <w:p>
      <w:r>
        <w:t>Il appartient à la société, qui allègue que le montant de 29'061 fr. versé à l'appelé en cause constitue une rémunération pour son activité d'indépendant, de le rendre vraisemblable compte tenu de l'obligation qu'elle a de collaborer à l'établissement des faits. Il lui appartient en particulier de renverser la présomption posée par la jurisprudence.</w:t>
      </w:r>
    </w:p>
    <w:p>
      <w:r>
        <w:rPr>
          <w:b/>
        </w:rPr>
        <w:t>E. 11</w:t>
      </w:r>
    </w:p>
    <w:p>
      <w:r>
        <w:t>L'administrateur de la société allègue avoir été de bonne foi en recourant aux services de l'appelé en cause. Il savait toutefois que @X__________ France avait déposé son bilan en 2003. Il lui appartenait dans ces conditions de se renseigner avec plus de diligence sur le statut de l'appelé en cause au regard des assurances sociales.</w:t>
      </w:r>
    </w:p>
    <w:p>
      <w:r>
        <w:t>A/2666/2010 - 9/9 -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