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ATAS/486/2023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https://mcp.opencaselaw.ch/entscheid/ge_gerichte_ATAS_486_2023</w:t>
      </w:r>
    </w:p>
    <w:p>
      <w:r>
        <w:t>FR: GE_GERICHTE ATAS/486/2023 du 22 juin 2023</w:t>
      </w:r>
    </w:p>
    <w:p>
      <w:r>
        <w:t>IT: GE_GERICHTE ATAS/486/2023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 - E 2 05),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 ; Que sa compétence pour juger du cas d’espèce est ainsi établie ; Qu’en vertu de l’art. 53 al. 3 LPGA, l’assureur peut reconsidérer une décision contre laquelle un recours est formé jusqu’à l’envoi de son préavis ; Qu'en l'occurrence, l'intimé a ainsi proposé l’admission partielle du recours et l’octroi d’une rente entière limitée dans le temps à la période du 1er mai 2021 au 31 mars 2023 ; Qu'il convient de statuer en ce sens.</w:t>
      </w:r>
    </w:p>
    <w:p>
      <w:r>
        <w:t>A/666/2022 - 3/3 - PAR CES MOTIFS, LA CHAMBRE DES ASSURANCES SOCIALES :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