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ATAS/486/2022 vom 24. Mai 2022</w:t>
      </w:r>
    </w:p>
    <w:p>
      <w:r>
        <w:t>GE Cour de justice, 2022-05-24, FR</w:t>
      </w:r>
    </w:p>
    <w:p>
      <w:r>
        <w:rPr>
          <w:b/>
        </w:rPr>
        <w:t xml:space="preserve">Quelle: </w:t>
      </w:r>
      <w:r>
        <w:t>https://mcp.opencaselaw.ch/entscheid/ge_gerichte_ATAS_486_2022</w:t>
      </w:r>
    </w:p>
    <w:p>
      <w:r>
        <w:t>FR: GE_GERICHTE ATAS/486/2022 du 24 mai 2022</w:t>
      </w:r>
    </w:p>
    <w:p>
      <w:r>
        <w:t>IT: GE_GERICHTE ATAS/486/2022 del 24 maggio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bien-fondé de la suspension du droit du recourant à l'indemnité de chômage pour une période nominale de 25 jours pour chômage fautif. Selon l’art. 30 al. 1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En d’autres termes, il n’est pas nécessaire que l’assuré ait violé ses obligations contractuelles de travail pour qu’une suspension de son droit à l’indemnité de chômage puisse lui être infligée (arrêt du Tribunal fédéral C 254/06 du 26 novembre 2007 consid. 4.2). Il suffit que le comportement à l’origine de la résiliation ait pu être évité si l’assuré avait fait preuve de la diligence voulue, en se comportant comme si l’assurance n’existait pas (ATF 112 V 242 consid. 1) 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w:t>
      </w:r>
    </w:p>
    <w:p>
      <w:r>
        <w:t>A/3774/2021 - 5/8 - preuve de la diligence voulue, comme si l’assurance n’existait pas. Le comportement reproché doit toutefois être clairement établi (ATF 112 V 242 consid. 1; arrêt du Tribunal fédéral 8C_370/2014 11 juin 2015 consid. 2.2; Thomas NUSSBAUMER, in Schweizerisches Bundesverwaltungsrecht [SBVR], Arbeitslosenversicherung, vol. XIV, 3ème éd. 2016, p. 2515 n. 837).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du Tribunal fédéral 8C_268/2015 du 6 août 2015 consid. 4.2 et les références). Le dol simple entraîne a fortiori une sanction (cf. Boris RUBIN, Commentaire de la loi sur l’assurance-chômage, 2014, n. 24 ad art. 30 LACI). Il doit y avoir un lien de causalité juridiquement pertinent entre le motif de licenciement, c'est-à-dire le comportement fautif de l'assuré, et le chômage (Circulaire du SECO, D15). Un assuré qui entend se prévaloir d’un motif de santé (art. 16 al. 2 let. c LACI) pour quitter ou refuser un poste de travail doit en principe fournir un certificat médical circonstancié, reposant sur une analyse clinique et technique (ATF 124 V 234 consid. 4b), indiquant précisément quelles activités sont contre-indiquées (arrêt du Tribunal fédéral des assurances C 60/05 du 18 avril 2006 ; arrêt du Tribunal fédéral des assurances C 182/01 du 22 février 2002).</w:t>
      </w:r>
    </w:p>
    <w:p>
      <w:r>
        <w:rPr>
          <w:b/>
        </w:rPr>
        <w:t>E. 2.1</w:t>
      </w:r>
    </w:p>
    <w:p>
      <w:r>
        <w:t>L’art. 30 al. 3 LACI prévoit notamment que la durée de la suspension est proportionnelle à la gravité de la faute et ne peut excéder, par motif de suspension, soixante jours.</w:t>
      </w:r>
    </w:p>
    <w:p>
      <w:r>
        <w:rPr>
          <w:b/>
        </w:rPr>
        <w:t>E. 2.2</w:t>
      </w:r>
    </w:p>
    <w:p>
      <w:r>
        <w:t>Conformément à l’art. 45 OACI, la suspension dure d’un à quinze jours en cas de faute légère (al. 3 let. a), de seize à trente jours en cas de faute de gravité moyenne (al. 3 let. b) et de trente-et-un à soixante jours en cas de faute grave (al.</w:t>
      </w:r>
    </w:p>
    <w:p>
      <w:r>
        <w:rPr>
          <w:b/>
        </w:rPr>
        <w:t>E. 2.3</w:t>
      </w:r>
    </w:p>
    <w:p>
      <w:r>
        <w:t>En tant qu’autorité de surveillance, le Secrétariat d’État à l’économie (ci- après :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w:t>
      </w:r>
    </w:p>
    <w:p>
      <w:r>
        <w:t>A/3774/2021 - 6/8 -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D64).</w:t>
      </w:r>
    </w:p>
    <w:p>
      <w:r>
        <w:rPr>
          <w:b/>
        </w:rPr>
        <w:t>E. 2.4</w:t>
      </w:r>
    </w:p>
    <w:p>
      <w:r>
        <w:t>S’agissant de la quotité de la sanction, l’art. 45 al. 3 OACI prévoit trois catégories de fautes, soit les fautes légères, les fautes moyennes et les fautes graves, à sanctionner en principe d’une suspension du droit à l’indemnité de chômage pour une durée respectivement de 1 à 15 jours, de 16 à 30 jours et de 31 à 60 jours.</w:t>
      </w:r>
    </w:p>
    <w:p>
      <w:r>
        <w:rPr>
          <w:b/>
        </w:rPr>
        <w:t>E. 2.5</w:t>
      </w:r>
    </w:p>
    <w:p>
      <w:r>
        <w:t>Tout chômage fautif ne constitue pas ipso jure un cas de faute grave. L’art. 45 al. 4 OACI érige en effet en faute grave l’abandon d’un emploi réputé convenable sans assurance d’obtenir un nouvel emploi et le refus d’un emploi réputé convenable, dans les deux cas sans motif valable.</w:t>
      </w:r>
    </w:p>
    <w:p>
      <w:r>
        <w:rPr>
          <w:b/>
        </w:rPr>
        <w:t>E. 2.6</w:t>
      </w:r>
    </w:p>
    <w:p>
      <w:r>
        <w:t>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w:t>
      </w:r>
    </w:p>
    <w:p>
      <w:r>
        <w:rPr>
          <w:b/>
        </w:rPr>
        <w:t>E. 2.7</w:t>
      </w:r>
    </w:p>
    <w:p>
      <w:r>
        <w:t>En l’espèce, le recourant ne conteste pas qu’il a reçu deux avertissements durant les premiers mois de son travail pour son ancien employeur. Il ne conteste pas davantage le lien de causalité entre les manquements commis et le licenciement qui en a résulté, mais les explique par une lacune dans la formation qu’il espérait recevoir de son employeur et par un manque de concentration et une somnolence dus à la prise de médicaments antidépresseurs. Le recourant expose d’ailleurs lui-même qu’il n’avait pas été en mesure de compléter une liste de contrôle que son employeur attendait qu’il remplisse lors des ventes. Le recourant évoque en outre un différend qu’il a eu avec son responsable lorsque ce dernier l’a contacté durant un congé. Force est ainsi de constater que des manquements d’ordre professionnel et le comportement général de l’assuré ont donné lieu au licenciement de ce dernier.</w:t>
      </w:r>
    </w:p>
    <w:p>
      <w:r>
        <w:t>A/3774/2021 - 7/8 - Le fait que l’employeur du recourant n’a pas mentionné d’éléments négatifs, comme les avertissements, dans le certificat de travail ne saurait occulter les manquements que le recourant ne conteste pas. Le fait qu’il était suivi par un thérapeute et prenait un traitement médical pouvant avoir un effet sur la concentration et la fatigue ne privait pas le recourant de sa capacité de travail. En revanche, la caisse en a tenu compte dans la qualification de la faute du recourant, laquelle a été qualifiée de moyenne et non de grave. Dans l’exercice du pouvoir d’appréciation qui est le sien en la matière, incluant un contrôle de l’opportunité (ATF 137 V 71 consid. 5.2 ; arrêt du Tribunal fédéral 8C_758/2017 du 19 octobre 2018 consid. 4.3), la chambre de céans constate que la suspension prononcée par l’intimée tient adéquatement compte de ces circonstances. Ainsi, la suspension du droit aux indemnités de 25 jours, prononcée par l’intimée, qui respecte le principe de proportionnalité, sera confirmée.</w:t>
      </w:r>
    </w:p>
    <w:p>
      <w:r>
        <w:rPr>
          <w:b/>
        </w:rPr>
        <w:t>E. 2.8</w:t>
      </w:r>
    </w:p>
    <w:p>
      <w:r>
        <w:t>Compte tenu de ce qui précède, le recours est rejeté.</w:t>
      </w:r>
    </w:p>
    <w:p>
      <w:r>
        <w:rPr>
          <w:b/>
        </w:rPr>
        <w:t>E. 2.9</w:t>
      </w:r>
    </w:p>
    <w:p>
      <w:r>
        <w:t>Pour le surplus, la procédure est gratuite (art. 61 let. a LPGA, dans sa version – applicable en l’occurrence – en vigueur jusqu’au 31 décembre 2020 en lien avec l’art. 1 al. 1 LACI).</w:t>
      </w:r>
    </w:p>
    <w:p>
      <w:r>
        <w:t>A/3774/2021 - 8/8 -</w:t>
      </w:r>
    </w:p>
    <w:p>
      <w:r>
        <w:t>PAR CES MOTIFS, LA CHAMBRE DES ASSURANCES SOCIALES : Statuant À la forme :</w:t>
      </w:r>
    </w:p>
    <w:p>
      <w:r>
        <w:rPr>
          <w:b/>
        </w:rPr>
        <w:t>E. 3</w:t>
      </w:r>
    </w:p>
    <w:p>
      <w:r>
        <w:t>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