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ATAS/486/2021 vom 20. Mai 2021</w:t>
      </w:r>
    </w:p>
    <w:p>
      <w:r>
        <w:t>GE Cour de justice, 2021-05-20, FR</w:t>
      </w:r>
    </w:p>
    <w:p>
      <w:r>
        <w:rPr>
          <w:b/>
        </w:rPr>
        <w:t xml:space="preserve">Quelle: </w:t>
      </w:r>
      <w:r>
        <w:t>https://mcp.opencaselaw.ch/entscheid/ge_gerichte_ATAS_486_2021</w:t>
      </w:r>
    </w:p>
    <w:p>
      <w:r>
        <w:t>FR: GE_GERICHTE ATAS/486/2021 du 20 mai 2021</w:t>
      </w:r>
    </w:p>
    <w:p>
      <w:r>
        <w:t>IT: GE_GERICHTE ATAS/486/2021 del 20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8 de la loi sur l'organisation judiciaire, du 26 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l'assurance-chômage obligatoire et l'indemnité en cas d'insolvabilité, du 25 juin 1982 (loi sur l’assurance-chômage, LACI - RS 837.0). Sa compétence pour juger du cas d’espèce est ainsi établie.</w:t>
      </w:r>
    </w:p>
    <w:p>
      <w:r>
        <w:rPr>
          <w:b/>
        </w:rPr>
        <w:t>E. 2</w:t>
      </w:r>
    </w:p>
    <w:p>
      <w:r>
        <w:t>Selon l’art. 102 al. 1 LACI, le SECO a qualité pour recourir devant les tribunaux cantonaux des assurances contre les décisions des autorités cantonales, des offices régionaux de placement et des caisses. Le 8 juin 2020 le SECO a adressé par erreur à l’OCE une « opposition » à sa décision du 25 mai 2020. Interjeté dans les forme et délai prévus par la loi, auprès d’une autorité incompétente qui l’a transmis à la Cour de céans, le recours est recevable (art. 39 al. 2, 56 à 61 LPGA ; art. 62 al. 1 let. a et art. 89B al. 1 de la loi sur la procédure administrative du 12 septembre 1985 [LPA – E 5 10]).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ainsi qu’au Secrétariat d'État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