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ATAS/486/2016 vom 21. Juni 2016</w:t>
      </w:r>
    </w:p>
    <w:p>
      <w:r>
        <w:t>GE Cour de justice, 2016-06-21, FR</w:t>
      </w:r>
    </w:p>
    <w:p>
      <w:r>
        <w:rPr>
          <w:b/>
        </w:rPr>
        <w:t xml:space="preserve">Quelle: </w:t>
      </w:r>
      <w:r>
        <w:t>https://mcp.opencaselaw.ch/entscheid/ge_gerichte_ATAS_486_2016</w:t>
      </w:r>
    </w:p>
    <w:p>
      <w:r>
        <w:t>FR: GE_GERICHTE ATAS/486/2016 du 21 juin 2016</w:t>
      </w:r>
    </w:p>
    <w:p>
      <w:r>
        <w:t>IT: GE_GERICHTE ATAS/486/2016 del 21 giugno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 jusqu'au 31 décembre 2002, 3.25 % en 2003, 2.25 % en 2004, 2.5 % de 2005 à 2007, 2.75 % en 2008, 2 % de 2009 à 2011, 1.5 % de 2012 à 2013 et 1.75 % dès le 1er janvier 2014.</w:t>
      </w:r>
    </w:p>
    <w:p>
      <w:r>
        <w:rPr>
          <w:b/>
        </w:rPr>
        <w:t>E. 4</w:t>
      </w:r>
    </w:p>
    <w:p>
      <w:r>
        <w:t>En l’espèce, le juge en instance d’appel a ordonné le partage par moitié des prestations de sortie acquises durant le mariage par les demandeurs. Les dates pertinentes sont, d’une part, celle du mariage, le 27 novembre 2009, d’autre part le 20 octobre 2015, date à laquelle le jugement de divorce est devenu exécutoire.</w:t>
      </w:r>
    </w:p>
    <w:p>
      <w:r>
        <w:rPr>
          <w:b/>
        </w:rPr>
        <w:t>E. 5</w:t>
      </w:r>
    </w:p>
    <w:p>
      <w:r>
        <w:t>Selon les documents produits, la prestation acquise pendant le mariage par le demandeur est de CHF 88'527.55 ([CHF 145'955.45 – CHF 77'332.65] +</w:t>
      </w:r>
    </w:p>
    <w:p>
      <w:r>
        <w:t>A/4027/2015 5/6 CHF 19'904.75), tandis la demanderesse n’a rien accumulé durant la période du mariage. Ainsi le demandeur doit à son ex-épouse le montant de CHF 44'263.80 (CHF 88'527.55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A/4027/2015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