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ATAS/486/2015 vom 25. Juni 2015</w:t>
      </w:r>
    </w:p>
    <w:p>
      <w:r>
        <w:t>GE Cour de justice, 2015-06-25, FR</w:t>
      </w:r>
    </w:p>
    <w:p>
      <w:r>
        <w:rPr>
          <w:b/>
        </w:rPr>
        <w:t xml:space="preserve">Quelle: </w:t>
      </w:r>
      <w:r>
        <w:t>https://mcp.opencaselaw.ch/entscheid/ge_gerichte_ATAS_486_2015</w:t>
      </w:r>
    </w:p>
    <w:p>
      <w:r>
        <w:t>FR: GE_GERICHTE ATAS/486/2015 du 25 juin 2015</w:t>
      </w:r>
    </w:p>
    <w:p>
      <w:r>
        <w:t>IT: GE_GERICHTE ATAS/486/2015 del 25 giugno 2015</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l'indemnité pour atteinte à l'intégrité (IPAI), plus particulièrement sur le taux de celle-ci, ainsi que sur le droit éventuel de l’assurée à une rente d’invalidité.</w:t>
      </w:r>
    </w:p>
    <w:p>
      <w:r>
        <w:rPr>
          <w:b/>
        </w:rPr>
        <w:t>E. 5</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En l’occurrence, il n’est pas contesté que l’évènement dont l’assurée a été victime est un accident.</w:t>
      </w:r>
    </w:p>
    <w:p>
      <w:r>
        <w:rPr>
          <w:b/>
        </w:rPr>
        <w:t>E. 6</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w:t>
      </w:r>
    </w:p>
    <w:p>
      <w:r>
        <w:t>A/400/2013 - 18/27 -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w:t>
      </w:r>
    </w:p>
    <w:p>
      <w:r>
        <w:rPr>
          <w:b/>
        </w:rPr>
        <w:t>E. 7</w:t>
      </w:r>
    </w:p>
    <w:p>
      <w:r>
        <w:t>a) L’annexe 3 à l'ordonnance sur l'assurance-accidents (OLAA), du 20 décembre 1982,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w:t>
      </w:r>
    </w:p>
    <w:p>
      <w:r>
        <w:t>A/400/2013 - 19/27 -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des assurances U 173/00 du 22 septembre 2000 consid. 2; RAMA 1998 p. 602).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w:t>
      </w:r>
    </w:p>
    <w:p>
      <w:r>
        <w:rPr>
          <w:b/>
        </w:rPr>
        <w:t>E. 8</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Selon la jurisprudence, il y a lieu d'additionner le pour cent correspondant à chacune des atteintes, même celles qui n'atteignent pas 5 % (ATF 116 V 156 consid. 3b; RAMA 1988 p. 230).</w:t>
      </w:r>
    </w:p>
    <w:p>
      <w:r>
        <w:rPr>
          <w:b/>
        </w:rPr>
        <w:t>E. 9</w:t>
      </w:r>
    </w:p>
    <w:p>
      <w:r>
        <w:t>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209 consid. 2b; ATF 124 V 29 consid. 3).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 accident (ATF 115 V 133 consid. 6; ATF 115 V 403 consid. 5). Conformément à cette jurisprudence et à la doctrine psychiatrique majoritaire, le droit à une indemnité pour atteinte à l'intégrité doit être en principe nié en cas d'accident insignifiant ou de peu de gravité, même si l'existence d'un lien de</w:t>
      </w:r>
    </w:p>
    <w:p>
      <w:r>
        <w:t>A/400/2013 - 20/27 - causalité adéquate est exceptionnellement admise. En cas d'accident de gravité moyenne également, le caractère durable de l'atteinte doit, en règle générale, être nié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133 consid. 6c; ATF 115 V 403 consid. 5c),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œuvre d'une expertise psychiatrique, pour autant qu'il n'apparaisse pas déjà évident sur le vu des éléments ressortant du dossier (ATF 124 V 29 consid. 5c; ATF 124 V 209 consid. 4b).</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A/400/2013 - 21/27 -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Enfin,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A/400/2013 - 22/27 -</w:t>
      </w:r>
    </w:p>
    <w:p>
      <w:r>
        <w:rPr>
          <w:b/>
        </w:rPr>
        <w:t>E. 12</w:t>
      </w:r>
    </w:p>
    <w:p>
      <w:r>
        <w:t>En l’espèce, la recourante ne conteste pas le taux d’IPAI retenu pour l’atteinte de son ouïe. Seule est contestée la part relative à ses atteintes orthopédiques. Force est cependant de constater que la recourante se contente de requérir une hausse de l’indemnité accordée sans motiver autrement sa position que par le fait que le Dr K______ a qualifié son atteinte d’« importante ». Or, la question de l’IPAI est de nature essentiellement médicale et, en l’occurrence, aucun élément concret n’est susceptible de jeter un doute sur le bien-fondé des estimations des Drs B______ et J______. Ainsi que le fait remarquer le Dr B______, le vocable « important » fait partie de la définition de l’atteinte à l’intégrité, dont l’existence a d’ores et déjà été admise. L’attestation du Dr K______ ne saurait ainsi être considérée comme suffisante pour étayer une augmentation de l’IPAI, d’autant que le Dr B______ a motivé de manière détaillée et convaincante sa position, expliquant qu’au niveau du bassin et de l’avant-bras, le résultat fonctionnel était bon et que les seuls problèmes musculo- squelettiques ne donneraient pas lieu à une incapacité dans un travail sédentaire. Au surplus, l’évaluation du Dr B______ a été confirmée tant par le Dr L______ que par le Dr N______, lequel s’est livré à une analyse extrêmement approfondie, après atteinte, à laquelle la recourante n’a su opposer d’autre argument que le fait qu’elle n’est plus en mesure d’entretenir son intérieur. Quant au plan psychique, il ressort de la jurisprudence rappelée supra qu’en cas d'accident de gravité moyenne - comme c’est le cas en l’occurrence -, le caractère durable de l'atteinte doit, en règle générale, être nié sans qu'il soit nécessaire de mettre en œuvre dans chaque cas une instruction plus approfondie au sujet de la nature et du caractère durable de l'atteinte psychique, étant rappelé qu’il ne convient de s'écarter de ce principe que dans des cas exceptionnels, à savoir lorsque l'on se trouve à la limite de la catégorie des accidents graves, et pour autant que les pièces du dossier fassent ressortir des indices évidents d'une atteinte particulièrement grave à l'intégrité psychique, qui ne paraît pas devoir se résorber, ce qui n’est manifestement et fort heureusement pas le cas de la recourante. Eu égard aux considérations qui précèdent et à l’évaluation détaillée du Dr N______, il convient de constater le bien-fondé de la fixation par l’intimée du taux de l’IPAI à 25%. Ce grief se révèle donc infondé.</w:t>
      </w:r>
    </w:p>
    <w:p>
      <w:r>
        <w:rPr>
          <w:b/>
        </w:rPr>
        <w:t>E. 13</w:t>
      </w:r>
    </w:p>
    <w:p>
      <w:r>
        <w:t>Il y a lieu à présent de déterminer si la recourante peut prétendre à une rente d’invalidité. Conformément à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w:t>
      </w:r>
    </w:p>
    <w:p>
      <w:r>
        <w:t>A/400/2013 - 23/27 -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Il y a encore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Lorsque l'assuré est apte à travailler à plein temps, mais avec un rendement diminué, cette diminution de rendement est prise en compte dans la fixation de l'incapacité de travail (voir en matière d’assurance-accidents : ATF non publié 8C_585/2011 du 5 avril 2012 consid. 3 et les références citées). Quant à l’incapacité de gain, elle correspond à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L’invalidité correspond à l’incapacité de gain totale ou partielle présumée permanente ou de longue durée.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donc une notion économique et non médicale dans la mesure où ce sont les conséquences économiques objectives de l'incapacité fonctionnelle qu'il importe d'évaluer. Son taux ne se confond ainsi par conséquent pas forcément avec le taux d'incapacité fonctionnelle déterminé par le médecin. En outre, lorsque l’assuré travaille, le revenu d'invalide doit être évalué avant tout en fonction de sa situation professionnelle concrète et correspond donc au revenu effectivement réalisé par l'intéressé.</w:t>
      </w:r>
    </w:p>
    <w:p>
      <w:r>
        <w:rPr>
          <w:b/>
        </w:rPr>
        <w:t>E. 14</w:t>
      </w:r>
    </w:p>
    <w:p>
      <w:r>
        <w:t>En l’espèce, la recourante demande que soient ordonnées de nouvelles expertises, afin de déterminer plus précisément les taux de ses atteintes orthopédique et psychique et leurs conséquences sur sa capacité de travail. En substance, la recourante relève qu’elle souffre d’une mémoire défaillante, d’angoisses récurrentes et de troubles de la concentration qui s’ajoutent à ses difficultés à se mouvoir et à ses problèmes auditifs. Elle reproche au Dr J______</w:t>
      </w:r>
    </w:p>
    <w:p>
      <w:r>
        <w:t>A/400/2013 - 24/27 - d’avoir minimisé son trouble dépressif. Elle allègue également que l’évaluation de son état psychique serait contredit par les autres rapports médicaux versés au dossier, en particulier ceux de son psychiatre traitant, le Dr D______. L’intimée se réfère quant à elle à l’avis du Dr J______, lequel a qualifié les symptômes psychiques résiduels de légers et susceptibles de diminuer les performances de l’assurée de 20% au maximum, dans toute activité adaptée aux limitations physiques, à l’âge et aux formations de l’intéressée, avis partagé par le Dr I______, spécialiste en psychiatrie et psychothérapie. Sur le plan strictement somatique, le Dr B______ a considéré que les atteintes n’avaient aucune incidence sur la capacité de travail, ce qu’a confirmé le Dr N______ : l’assurée a présenté à la hanche droite une lésion potentiellement grave du point de vue ostéoarticulaire, mais un traitement de qualité a permis d’obtenir un bon résultat fonctionnel ; de même, du point de vue clinique, à l’examen final après fracture du cubitus, il n’y avait aucune limitation de la mobilité, strictement superposable à la mobilité controlatérale ; les fractures costales ont visiblement guéri sans séquelles, vu l’absence de plaintes, tout comme l’atteinte au niveau des parties molles de la cuisse droite. Quant aux troubles fonctionnels douloureux de l’épaule gauche, ils ne sont apparus que postérieurement à l’accident, à une distance temporelle d’au moins deux mois et en l’absence d’indice permettant de conclure à un traumatisme secondaire. Qui plus est, le Dr N______ a démontré de manière convaincante qu’il convenait de conclure en l’occurrence à une bursite, affection inflammatoire de peu de gravité et, surtout, réversible. Enfin, les lombalgies et la maladie ostéoporotique étaient déjà présentes avant l’accident et sans lien de causalité naturelle avec ce dernier, ce qui n’est pas contesté par la recourante. Celle-ci conteste surtout l’évaluation des conséquences de son état psychique sur sa capacité de travail. Or, le rapport d’expertise du Dr J______ - complété sur questions de la recourante et de l’intimée - peut se voir reconnaître pleine valeur probante. En effet, il fait l’objet d’une anamnèse approfondie et détaillée - confirmée par le psychiatre traitant. Il se fait également l’écho des plaintes de l’assurée. Les diagnostics posés sont discutés de manière approfondie et convaincante, tout comme les raisons pour lesquelles l’expert a écarté d’autres diagnostics. Qui plus est, ses conclusions sont corroborées par celles du Dr H______, lequel a estimé qu’il n’était pas vraisemblable que les discrètes modifications aspécifiques décelées par la psychologue puissent être considérées comme des déficits neuropsychologiques durables d’origine organique et a conclu que, dès le début de l’année 2009 au plus tard, une limitation de l’aptitude au travail de l’assurée dans l’exercice de son métier habituel ne se justifiait plus par les suites de l’accident neurologique ou neuropsychologique.</w:t>
      </w:r>
    </w:p>
    <w:p>
      <w:r>
        <w:t>A/400/2013 - 25/27 - Le Dr D______ a d’ailleurs reconnu que, sur le plan purement technique, l’expertise avait été « tout à fait bien menée », même s’il n’en partage pas les conclusions. A cet égard cependant, force est de constater que le psychiatre traitant n’amène aucun élément objectif permettant de faire douter des conclusions de l’expert. En particulier, il ne s’exprime pas clairement sur le taux de capacité de travail de sa patiente ni ne le motive. Dans ces circonstances, il convient de se rallier aux conclusions du Dr J______, dont il ressort que seule une symptomatique affective résiduelle légèrement marquée subsiste. Le rapport du Dr J______ n’apparaît peu clair que sur un point : en conclusion, l’expert a considéré que les symptômes psychiques résiduels devaient être considérés comme légers et susceptibles de réduire les performances de l’assurée de 20% tout au plus pendant une durée maximale de six mois dans toute activité adaptée à ses limitations physiques, à son âge et à son niveau de formation, tout en ajoutant, un peu plus loin que cette diminution de rendement de 20% pourrait subsister. L’expert a néanmoins éclairci sa position par la suite, expliquant que les symptômes, bien que légers, étaient encore explorables, de sorte qu’il fallait en tenir compte, car ils affecteraient très probablement légèrement l’assurée si elle reprenait une activité professionnelle : ils entraîneraient un ralentissement léger du rythme de travail en raison d’une fatigabilité accrue, ce qui réduirait les performances de l’assurée et donc sa capacité de rendement. Toutefois, cette réduction de la capacité de rendement serait minime, 20% correspondant déjà à une appréciation très large. De plus, ce déficit de rendement dépendrait de la configuration du poste de travail : plus il serait exigeant et complexe, plus le déficit de rendement serait important. En revanche, dans une activité relativement calme et bien structurée, après un certain temps d’adaptation pour acquérir la routine nécessaire, le déficit de rendement devrait tendre pratiquement vers zéro. L’expert a une nouvelle fois confirmé cette position en expliquant que les atteintes neuropsychologiques dont l’assurée avait souffert après l’accident avaient largement régressé, qu’elles pouvaient être qualifiées de légères lors de l’examen neuropsychologique du 8 décembre 2008 et qu’elles étaient désormais donc plus que largement couvertes par la reconnaissance d’un déficit résiduel de 20% de la capacité de rendement. Dès lors, la position adoptée tant par la Dresse I______ que par l’intimée, consistant à conclure que, d’un point de vue psychiatrique, on ne constaterait aucune limitation de la capacité de travail en termes de temps de travail ou de rendement, paraît difficilement défendable, d’autant que la valeur probante de l’expertise a été reconnue. Dans cette mesure, il y a lieu de se rallier à l’intégralité des conclusions du Dr J______, y compris celles relatives à une diminution durable de la capacité de</w:t>
      </w:r>
    </w:p>
    <w:p>
      <w:r>
        <w:t>A/400/2013 - 26/27 - travail de l’ordre de 20%, ce qui correspond à un degré d’invalidité similaire, l’activité préalablement exercée correspondant à la définition d’une activité adaptée telle que décrite par l’expert. Au vu de ce qui précède, le recours sera partiellement admis en ce sens que le droit à une rente d’invalidité d’un taux de 20% est reconnu à la recourante. La recourante obtenant gain de cause, une indemnité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A/400/2013 - 27/27 -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