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ATAS/486/2013 vom 3. Juli 2012</w:t>
      </w:r>
    </w:p>
    <w:p>
      <w:r>
        <w:t>GE Cour de justice, 2012-07-03, FR</w:t>
      </w:r>
    </w:p>
    <w:p>
      <w:r>
        <w:rPr>
          <w:b/>
        </w:rPr>
        <w:t xml:space="preserve">Quelle: </w:t>
      </w:r>
      <w:r>
        <w:t>https://mcp.opencaselaw.ch/entscheid/ge_gerichte_ATAS_486_2013</w:t>
      </w:r>
    </w:p>
    <w:p>
      <w:r>
        <w:t>FR: GE_GERICHTE ATAS/486/2013 du 3 juillet 2012</w:t>
      </w:r>
    </w:p>
    <w:p>
      <w:r>
        <w:t>IT: GE_GERICHTE ATAS/486/2013 del 3 luglio 2012</w:t>
      </w:r>
    </w:p>
    <w:p>
      <w:pPr>
        <w:pStyle w:val="Heading2"/>
      </w:pPr>
      <w:r>
        <w:t>Erwägungen</w:t>
      </w:r>
    </w:p>
    <w:p>
      <w:r>
        <w:rPr>
          <w:b/>
        </w:rPr>
        <w:t>E. 1</w:t>
      </w:r>
    </w:p>
    <w:p>
      <w:r>
        <w:t>Suspend l'instance en application de l’art. 14 LPA, jusqu’à droit jugé dans la cause A/892/2013.</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