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ATAS/485/2019 vom 3. Juni 2019</w:t>
      </w:r>
    </w:p>
    <w:p>
      <w:r>
        <w:t>GE Cour de justice, 2019-06-03, FR</w:t>
      </w:r>
    </w:p>
    <w:p>
      <w:r>
        <w:rPr>
          <w:b/>
        </w:rPr>
        <w:t xml:space="preserve">Quelle: </w:t>
      </w:r>
      <w:r>
        <w:t>https://mcp.opencaselaw.ch/entscheid/ge_gerichte_ATAS_485_2019</w:t>
      </w:r>
    </w:p>
    <w:p>
      <w:r>
        <w:t>FR: GE_GERICHTE ATAS/485/2019 du 3 juin 2019</w:t>
      </w:r>
    </w:p>
    <w:p>
      <w:r>
        <w:t>IT: GE_GERICHTE ATAS/485/2019 del 3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t>A/3397/2017 - 19/36 -</w:t>
      </w:r>
    </w:p>
    <w:p>
      <w:r>
        <w:rPr>
          <w:b/>
        </w:rPr>
        <w:t>E. 4</w:t>
      </w:r>
    </w:p>
    <w:p>
      <w:r>
        <w:t>Le litige porte sur le bien-fondé de la décision de l’intimé du 20 juillet 2017 de nier à la recourante le droit à toute prestation, en particulier à une rente d’invalidité, singulièrement sur la question de son statut.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Les atteintes à la santé psychique peuvent, comme les atteintes physiques, entraîner une invalidité au sens de l'art. 4 al. 1 LAI en liaison avec l'art. 8 LPGA. On ne</w:t>
      </w:r>
    </w:p>
    <w:p>
      <w:r>
        <w:t>A/3397/2017 - 20/36 -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du 30 novembre 2017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a. En l’espèce, la décision attaquée retient, s’appuyant sur l’avis du SMR du</w:t>
      </w:r>
    </w:p>
    <w:p>
      <w:r>
        <w:rPr>
          <w:b/>
        </w:rPr>
        <w:t>E. 16</w:t>
      </w:r>
    </w:p>
    <w:p>
      <w:r>
        <w:t>février 2017, lui-même basé sur l’expertise du 20 décembre 2016, que la capacité de travail de la recourante, nulle du 20 août au 11 décembre 2014, est de 50 % dès cette dernière date jusqu’au 14 novembre 2016, puis entière à compter du 15 novembre 2016 dans toute activité. b. Le rapport d’expertise multidisciplinaire se fonde sur une anamnèse détaillée, un examen clinique de la recourante et tient compte des plaintes rapportées par cette dernière. Il a été établi en pleine connaissance du dossier et ses conclusions, dûment motivées, ne laissent pas apparaître de contradictions. Ce rapport doit donc se voir reconnaître une pleine force probante. b/aa. Sur le plan somatique, la recourante a souffert le 20 août 2014 d’un accident ischémique transitoire fronto-pariétal gauche dans le territoire de l’artère sylvienne gauche superficielle. Peu après, elle s’est plainte d’une fatigabilité importante ainsi que de troubles de la concentration et de l’attention. Le 16 mars 2015, le diagnostic d’apnées obstructives du sommeil sévère a été posé. Son suivi régulier au sein du laboratoire du sommeil des HUG a révélé la présence d’une fatigue et d’une somnolence diurne persistante. Elle a été équipée par un CPAP. La polysomnographie du 29 octobre 2015 a montré une relativement bonne efficacité de ce traitement. Un certain nombre d’événements à caractère obstructif persistait toutefois (hypopnées limitations de débit avec micro-éveils), sans présence d’une hypoventilation durant le sommeil, et les mouvements périodiques des membres inférieurs avaient un caractère éveillant. Dans le cadre de l’expertise multidisciplinaire, l’examen neuropsychologique a mis en évidence des fonctions instrumentales préservées, ainsi qu’une efficience mnésique, exécutive, attentionnelle et du raisonnement associatif dans les normes. Les capacités de rendement et de concentration, évaluées à l’aide du subtest de la WAIS IV, étaient de bon niveau. L’examen neurologique s’est révélé normal, et a été complété par un EEG qui était normal, sans phases de somnolence, et par un écho-Doppler des vaisseaux précérébraux qui était également normal. On relèvera à cet égard que la recourante avait pu quitter les HUG une semaine après la survenance de son accident ischémique transitoire, dans la mesure où elle avait présenté une évolution clinique favorable, avec une disparition complète des troubles neurologiques (cf. lettre de sortie du 1er septembre 2014). Dans son rapport du 20 avril 2015, le service de neurologie des HUG a mentionné que l’accident ischémique transitoire, dont l’évolution avait été favorable, n’a aucune répercussion sur la capacité de travail.</w:t>
      </w:r>
    </w:p>
    <w:p>
      <w:r>
        <w:t>A/3397/2017 - 24/36 - Aucune pièce médicale au dossier ne fait d’ailleurs état de troubles neurologiques qui se seraient manifestés depuis lors. Lors de la consultation spécialisée du sommeil le 15 novembre 2016, l’expert a procédé à un enregistrement EEG, EOG, EMG et une vidéo (quatre essais de quarante minutes effectués à 8h43, 10h32, 12h41 et 14h31) en vue d’objectiver la somnolence de la recourante. Il a retenu une somnolence légère à modérée avec une latence moyenne à l'endormissement de trente minutes et demi. La veille de l’examen, la recourante n’avait pas porté sa CPAP. Le relevé de la carte mémoire de l'appareil des quatre derniers mois (du 28 juillet au 13 novembre 2016) retrouvait toutefois un temps d'utilisation satisfaisant (80,8 %), avec une bonne efficacité objective comme en témoignait l'index d'apnée-hypopnée résiduel à 1,1/h. L’on constate à cet égard que la recourante avait déclaré aux experts que, depuis l’appareillage avec la CPAP, le sommeil était relativement bon, en moyenne huit heures par nuit, et les mouvements des membres inférieurs ne la réveillaient plus. Elle faisait une sieste volontaire les après-midis (pas d’endormissement subi) d’une demi-heure à une heure et demie. Dans son rapport du 18 mars 2016, le Dr C______ a d’ailleurs relevé que le changement de médication (comme recommandé suite à la polysomnographie du 29 octobre 2015) était positif sur le mouvement périodique des jambes. Les experts sont parvenus à la conclusion qu’il n’existait aucun diagnostic (somatique) ayant une influence sur la capacité de travail. b/bb. Sur le plan psychique, l’expert a fait état de traits de personnalité émotionnellement labiles et dépendants, en motivant son diagnostic en fonction des éléments cliniques qu'il a mis en évidence. La recourante avait décrit des fluctuations d’humeur dès l’adolescence, avec parfois des idées noires, ainsi qu’une tendance « à faire des crises de nerf, à se taper dessus, à se taper la tête contre les murs ». Après son divorce, une recrudescence de ces comportements s’était manifestée. Son parcours de vie avait été difficile, caractérisé par une enfance probablement malheureuse (mère autoritaire, mauvais traitements psychologiques). Ces facteurs de fragilisation de la personnalité s’étaient ensuite manifestés au cours de sa vie avec une faible implication dans une formation professionnelle. Ces caractéristiques émotionnellement labiles ne revêtaient toutefois pas un degré de gravité suffisant pour correspondre à un trouble majeur de la personnalité assimilable à une atteinte à la santé mentale, car, durant de nombreuses années, la recourante avait pu établir des relations interpersonnelles, sociales et professionnelles équilibrées. Ces caractéristiques de personnalité n’avaient en outre pas interféré dans le cadre de son activité professionnelle. La recourante n’avait pas décrit des périodes bien délimitées dans le temps, caractérisées par tous les symptômes cardinaux de dépression, périodes qui auraient nécessité des traitements psychopharmacologiques ou psychiatriques. À cet égard, comme on le verra ci- dessous, contrairement à ce que la recourante prétend, tant avant qu’après son</w:t>
      </w:r>
    </w:p>
    <w:p>
      <w:r>
        <w:t>A/3397/2017 - 25/36 - divorce, elle avait travaillé à un taux de 60 % jusqu’à son atteinte à la santé (somatique) le 20 août 2014. Elle n’avait donc pas présenté un conflit intrapsychique majeur qui expliquerait le développement d’un trouble douloureux et son aboutissement jusqu'à une diminution importante de son activité lucrative. Elle avait notamment consulté son médecin dans le contexte de crises émotionnelles et relationnelles, ce qui découlait des caractéristiques émotionnellement labiles. Le jour de l’expertise, elle avait décrit une tristesse fluctuante, sans qu’une baisse de l’estime de soi, des idées pathologiques de culpabilité, des idées noires ou suicidaires ou encore une anhédonie ne soient mises en évidence. Les troubles du sommeil et l’asthénie rapportés n’étaient pas intimement rattachés à une baisse de l’humeur. Son appétit était conservé. Sur la base de l’examen effectué (échelle de dépression MADRS), l’expert a conclu que ces symptômes n’atteignaient même pas le seuil de l’épisode dépressif léger. La recourante démontrait donc des fluctuations d’humeur inhérentes aux caractéristiques de personnalité émotionnellement labile. On relèvera à cet égard que le médecin traitant, dans son rapport du 26 janvier 2015, n’avait pas non plus observé de symptômes de la lignée dépressive. Par ailleurs, dans la mesure où l’examen neuropsychologique s’est avéré normal, l’expert a retenu qu’il n’existait aucune pathologie neurologique ou psycho-organique. La recourante se plaignait avant tout d’une asthénie et de troubles de la concentration subjectifs. Elle ne présentait pas non plus un tableau clinique de la neurasthénie selon les critères de la CIM-10. Compte tenu de ces éléments, la recourante ne présente pas de comorbidité psychiatrique importante par sa gravité. Le Tribunal fédéral a du reste déjà été amené à constater que des traits de personnalité n'avaient en principe pas valeur de maladie psychiatrique (cf. p. ex. arrêts 9C_894/2015 du 25 avril 2016 consid. 5.1; 9C_506/2013 du 18 décembre 2013 consid. 4.3; 8C_99/2011 du 26 août 2011 consid. 5.2; 9C_60/2010 du 8 juillet 2010 consid. 3.2; I 946/05 du 11 mai 2007 consid. 4.4 in SVR 2007 IV n. 44 p. 144; I 53/06 du 22 mars 2007 consid. 6.1; I 176/06 du 26 février 2007 consid. 4). Dans ce cas de figure, une analyse de tous les indicateurs selon l’ATF 141 V 281 n’est pas nécessaire (arrêt du Tribunal fédéral 9C_14/2018 du 12 mars 2018 consid 2.1). Il n'y a dès lors pas lieu de s'écarter des conclusions de l'expert selon lesquelles aucune incapacité de travail ne peut être retenue sous l’angle psychique. b/cc. Aux termes de la discussion collégiale du cas, les experts ont considéré que l’asthénie et les troubles de la concentration décrits au décours de l’accident ischémique transitoire étaient à mettre sur le seul compte des pathologies du sommeil (soit du syndrome d’apnées du sommeil sévères), dès lors que l’accident ischémique transitoire (neurologique) n’avait laissé aucune séquelle et que l’examen psychiatrique ne mettait en évidence ni un état dépressif ni une neurasthénie. Ils ont évalué la capacité de travail de la recourante comme étant nulle dans toute activité du 20 août au 30 novembre 2014 (en raison de l’accident</w:t>
      </w:r>
    </w:p>
    <w:p>
      <w:r>
        <w:t>A/3397/2017 - 26/36 - ischémique transitoire) ; de 30 % (de 60 % ) dans l’activité habituelle du 1er décembre 2014 au 15 novembre 2016 (en lien avec le syndrome d’apnées du sommeil) et entière dès le 15 novembre 2016 dans son activité habituelle, sans aucune limitation fonctionnelle, dans la mesure où l’enregistrement du sommeil le 15 novembre 2016 montrait un bon contrôle du sommeil et que les tests neuropsychologiques étaient normaux. À partir de cette date, l’asthénie et les troubles de la concentration étaient donc essentiellement subjectifs. 13. a. Ci-après, il convient d’examiner si les arguments de la recourante commandent de s’écarter des conclusions du rapport d’expertise.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b. Sur le plan somatique, la recourante invoque des douleurs dorso-lombaires et indique qu’elle est suivie par l’Institut Chiropratique du Dr I______. Or, elle ne s’était pas plainte de telles douleurs lors de l’expertise. De surcroît, elle n’a produit aucun rapport médical qui corroborerait l’existence de ces troubles et justifierait une incapacité de travail y relative. Le certificat de la Clinique genevoise de Montana du 11 septembre 2018, relatif au séjour de la recourante du 30 août au 12 septembre 2018, qui est de surcroît postérieur à la décision litigieuse du 20 juillet 2017, ne pose aucun diagnostic ni ne se prononce sur la capacité de travail de la recourante. Cette dernière répète que son sommeil est très agité, elle bougerait énormément et sursauterait. Elle allègue également des difficultés dans la préhension fine et des difficultés à évaluer les distances. Elle reproche en outre aux experts d’avoir évaluer sa capacité de travail sur la base d’un seul enregistrement relatif à la pathologie du sommeil. Les experts avaient toutefois procédé à un enregistrement EEG, EOG, EMG et une vidéo (quatre essais de quarante minutes effectués à 8h43, 10h32, 12h41 et 14h31). Ils avaient également analysé le relevé de la carte mémoire du CPAP des quatre derniers mois (du 28 juillet au 13 novembre 2016) avant de se prononcer sur le cas de la recourante. Du reste, aucun rapport au dossier, postérieur à la polysomnographie du 29 octobre 2015 et à l’expertise de novembre 2016 mais antérieur à la décision litigieuse (résumés de polysomnographie, examens neurologiques) ne remet en cause les conclusions des experts selon lesquelles la recourante ne présente ni un trouble neurologique ni un sommeil perturbateur à compter du 15 novembre 2016.</w:t>
      </w:r>
    </w:p>
    <w:p>
      <w:r>
        <w:t>A/3397/2017 - 27/36 - La recourante s’étonne que les experts retiennent que l’asthénie et les troubles de la concentration sont corrélatives aux pathologies du sommeil pour une durée limitée uniquement. Ce faisant, la recourante se contente de substituer sa propre appréciation à celle des experts dont les conclusions ont pourtant été prises à l’issue d’un examen complet, sur la base de son dossier et de ses plaintes. Par ailleurs, le rapport du Dr C______ du 14 novembre 2017, peu étayé, répète les diagnostics et les symptômes (accident ischémique transitoire, syndrome d’apnées du sommeil, grande fatigue, troubles de la concentration) qui ont déjà été pris en compte par les experts. Le médecin traitant ne formule au demeurant aucune critique à l’encontre du rapport d’expertise. Quant aux rapports médicaux produits par la recourante le 25 août 2017 à l’appui de son recours, ils se réfèrent à l’hyposmie, à l’hypogueusie, à des acouphènes et à une crise d’urticaire qu’elle avait présentée le 9 janvier 2016. Aucun de ces documents n’atteste cependant d’une incapacité de travail durable en raison de ces troubles. En ce qui concerne le courrier de son ancienne collègue à l’attention de l’intimé témoignant des difficultés de la recourante à effectuer son activité professionnelle, il n’est pas pertinent, dans la mesure où, pour pouvoir établir le droit de la recourante à des prestations, l'administration ou le juge, en cas de recours, s’appuie sur des rapports médicaux. 1. c. Sur le plan psychique, la recourante a produit les rapports de la Dresse H______ des 26 avril 2017 et 14 novembre 2017 qui font état notamment d’automutilation, de crises de panique avec des symptômes neurovégétatifs intenses, ainsi que des idées noires voire des idées suicidaires passagères, soit des symptômes qui n’étaient pas présents le jour de l’expertise (à ce moment, aucune baisse de l’estime de soi, des idées pathologiques de culpabilité, des idées noires ou suicidaires ou une anhédonie n’avaient été mises en évidence). La Dresse H______ a posé un nouveau diagnostic (troubles anxieux dépressifs importants dans le premier rapport ; troubles dépressifs récurrents moyens dans le second). La recourante semble donc présenter une aggravation de son état de santé psychique. Cela étant, dans la mesure où cette dernière consulte la psychiatre depuis le 18 avril 2017 seulement, il n’est pas exclu que les troubles psychiques soient réactionnels au projet de décision de refus de toute prestation du 28 mars 2017. Outre cela, si à l’inverse de son premier rapport, la Dresse H______ s’est prononcée dans le second rapport – postérieur à la décision litigieuse −, sur la capacité de travail de la recourante, elle n’a en revanche pas pris position de manière limpide sur ce sujet. Ce médecin juge en effet la capacité de travail nulle dans l’activité habituelle, mais on ignore à partir de quand. Quant à la capacité de travail dans une activité adaptée, elle mentionne « rester environ plus que deux heures assise ou debout pour des activités qui ne demandaient pas une grande concentration ou plusieurs tâches en même temps ». En ce qui</w:t>
      </w:r>
    </w:p>
    <w:p>
      <w:r>
        <w:t>A/3397/2017 - 28/36 - concernait le pronostic, la recourante ne pouvait plus effectuer le travail d’aide à domicile comme auparavant à plein temps. Sa capacité de travail se restreignait à un petit pourcentage de deux heures par jour environ. Or, il n’est pas clair si les deux heures par jour se rapportent, comme le prétend la recourante, à la réduction de sa capacité de travail dans une activité adaptée – les deux heures mentionnées sous le chapitre « pronostic » semblent plutôt se référer à l’activité habituelle – ou si elles correspondent à la délimitation de la durée de la position assise dans une activité adaptée, auquel cas on ignore de quelle capacité de travail résiduelle la recourante dispose. Compte tenu de ces éléments, les rapports de la Dresse H_____ des 26 avril 2017 et 14 novembre 2017 ne sauraient suffire à jeter le discrédit sinon soulever des doutes sur les conclusions des experts portant sur la période du 20 août 2014 au 15 novembre 2016. d. Partant, la chambre de céans retient, à l’instar des experts, que la capacité de travail de la recourante est nulle dans toute activité du 20 août au 30 novembre 2014 ; de 30 % (de 60 %) dans l’activité habituelle du 1er décembre 2014 au 14 novembre 2016 et entière dès le 15 novembre 2016 dans son activité habituelle. Dans la mesure où, dans son avis du 16 février 2017, le SMR (et a fortiori l’intimé) se rallie aux conclusions probantes des experts, ce sont bien les chiffres et les périodes circonscrites par l'expertise qui doivent être prises en compte, de sorte qu’il y a lieu de rectifier les erreurs de plume commises par celui-ci dans la décision attaquée : il retient une capacité de travail nulle du 20 août au 11 au lieu du 1er décembre 2014. Quant au taux de l’incapacité de travail, que l’intimé fixe à 50 % dès le 11 décembre 2014 (recte : 1er décembre) jusqu’au 14 novembre 2016, il est erroné. Pour cette période, les experts se rapportent – implicitement – à l’évaluation du médecin traitant, selon laquelle la capacité de travail de la recourante était de 30 % (de 60 %) dans l’activité habituelle (cf. certificats établis par le Dr C______ dès le 12 novembre 2014 ; ses rapports des 27 mars et 27 novembre 2015), c’est-à-dire de</w:t>
      </w:r>
    </w:p>
    <w:p>
      <w:r>
        <w:rPr>
          <w:b/>
        </w:rPr>
        <w:t>E. 18</w:t>
      </w:r>
    </w:p>
    <w:p>
      <w:r>
        <w:t>a. En l’espèce, dans la sphère professionnelle (part de 60 %), l’intimé a fixé le degré d’invalidité à 30 % (60 % de 50 %). Or, comme déjà exposé ci-dessus, la capacité de travail de la recourante dans une activité adaptée n’est pas clairement établie. Aussi ne peut-on pas fixer son revenu d’invalide. Ce n’est qu’une fois avoir obtenu cette information que l’intimé pourra déterminer l’empêchement dans la sphère lucrative. À ce stade, on ignore si celui-ci est bien de 50 % comme le prétend l’intimé. b. S’agissant du taux d'empêchement de la recourante dans la sphère ménagère, l’intimé l’a fixé à 10 %, en se référant à la description « vie quotidienne » figurant dans le rapport d’expertise et en tenant compte de l’exigibilité de l’aide apportée par les enfants majeurs. L’intimé n’a pas mis sur pied une enquête économique sur le ménage au domicile de l'assurée, au motif qu’une telle enquête sur une période révolue (1er décembre 2014 au 15 novembre 2016) n’était pas opportune, la recourante disposant d’une pleine capacité de travail dans son activité habituelle dès le 15 novembre 2016. Force est de constater que l'instruction menée par l'intimé est lacunaire. Dans la mesure où le statut mixte a été retenu, il y avait lieu d'examiner, compte tenu des circonstances concrètes du cas particulier, s'il existait des empêchements dans la tenue du ménage méritant d'être pris en considération, et ce au moyen d'une enquête sur place effectuée par une personne qualifiée et ayant connaissance de la situation locale et spatiale, même si cette enquête devait porter sur une période révolue (cf. dans ce sens : ATAS/877/2017 du 10 octobre 2017 consid. 10c). L'intimé ne pouvait conclure que la recourante présentait un empêchement de 10 % dans la tenue du ménage sur la base de la description « vie quotidienne » figurant dans le rapport d’expertise, dès lors que cette description se rapporte à une période à compter de laquelle la recourante dispose d’une capacité de travail entière dans son activité habituelle. Il s’ensuit qu’on ne peut, en toute connaissance de cause, trancher la question de l'empêchement de la recourante dans la sphère ménagère du</w:t>
      </w:r>
    </w:p>
    <w:p>
      <w:r>
        <w:rPr>
          <w:b/>
        </w:rPr>
        <w:t>E. 20</w:t>
      </w:r>
    </w:p>
    <w:p>
      <w:r>
        <w:t>La recourante, représentée par un conseil, obtenant partiellement gain de cause, une indemnité de CHF 1'000.- lui sera accordée à titre de participation à ses frais et dépens (art. 61 let. g LPGA; art. 6 du règlement sur les frais, émoluments et indemnités en matière administrative du 30 juillet 1986 [RFPA – RS/GE E 5 10.03]), à la charge de l’intimé. La procédure de recours en matière de contestations portant sur l’octroi ou le refus de prestations de l’assurance-invalidité étant soumise à des frais de justice (art. 69 al. 1bis LAI; art. 89H al. 4 LPA), au vu du sort du recours, il y a lieu de condamner l’intimé au paiement d'un émolument, arrêté en l’espèce à CHF 200.-.</w:t>
      </w:r>
    </w:p>
    <w:p>
      <w:r>
        <w:t>A/3397/2017 - 36/36 -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