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ATAS/485/2017 vom 13. Juni 2017</w:t>
      </w:r>
    </w:p>
    <w:p>
      <w:r>
        <w:t>GE Cour de justice, 2017-06-13, FR</w:t>
      </w:r>
    </w:p>
    <w:p>
      <w:r>
        <w:rPr>
          <w:b/>
        </w:rPr>
        <w:t xml:space="preserve">Quelle: </w:t>
      </w:r>
      <w:r>
        <w:t>https://mcp.opencaselaw.ch/entscheid/ge_gerichte_ATAS_485_2017</w:t>
      </w:r>
    </w:p>
    <w:p>
      <w:r>
        <w:t>FR: GE_GERICHTE ATAS/485/2017 du 13 juin 2017</w:t>
      </w:r>
    </w:p>
    <w:p>
      <w:r>
        <w:t>IT: GE_GERICHTE ATAS/485/2017 del 13 giugno 2017</w:t>
      </w:r>
    </w:p>
    <w:p>
      <w:pPr>
        <w:pStyle w:val="Heading2"/>
      </w:pPr>
      <w:r>
        <w:t>Volltext</w:t>
      </w:r>
    </w:p>
    <w:p>
      <w:r>
        <w:t>Siégeant : Raphaël MARTIN, Président; Rosa GAMBA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A/2996/2016 ATAS/485/2017 COUR DE JUSTICE Chambre des assurances sociales Arrêt du 13 juin 2017 2ème Chambre</w:t>
      </w:r>
    </w:p>
    <w:p>
      <w:r>
        <w:t>En la cause Madame A______, domiciliée au PETIT-LANCY, comparant avec élection de domicile en l'étude de Maître Shahram DINI 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A/2996/2016 - 2/2 -</w:t>
      </w:r>
    </w:p>
    <w:p>
      <w:r>
        <w:t>Vu la décision sur opposition de la caisse cantonale genevoise de compensation du 11 juillet 2016, Vu le recours de Madame A______ (ci-après : la recourante) du 12 septembre 2016, Vu les différents échanges d’écritures, Vu l’écriture de la recourante du 9 juin 2017, par lequel elle indique retirer son recours,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