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ATAS/485/2014 vom 9. April 2014</w:t>
      </w:r>
    </w:p>
    <w:p>
      <w:r>
        <w:t>GE Cour de justice, 2014-04-09, FR</w:t>
      </w:r>
    </w:p>
    <w:p>
      <w:r>
        <w:rPr>
          <w:b/>
        </w:rPr>
        <w:t xml:space="preserve">Quelle: </w:t>
      </w:r>
      <w:r>
        <w:t>https://mcp.opencaselaw.ch/entscheid/ge_gerichte_ATAS_485_2014</w:t>
      </w:r>
    </w:p>
    <w:p>
      <w:r>
        <w:t>FR: GE_GERICHTE ATAS/485/2014 du 9 avril 2014</w:t>
      </w:r>
    </w:p>
    <w:p>
      <w:r>
        <w:t>IT: GE_GERICHTE ATAS/485/2014 del 9 aprile 2014</w:t>
      </w:r>
    </w:p>
    <w:p>
      <w:pPr>
        <w:pStyle w:val="Heading2"/>
      </w:pPr>
      <w:r>
        <w:t>Erwägungen</w:t>
      </w:r>
    </w:p>
    <w:p>
      <w:r>
        <w:rPr>
          <w:b/>
        </w:rPr>
        <w:t>E. 1</w:t>
      </w:r>
    </w:p>
    <w:p>
      <w:r>
        <w:t>La compétence de la Cour de céans ainsi que la recevabilité du recours ayant été examinées par arrêt du 27 septembre 2010, il n’y sera pas revenu.</w:t>
      </w:r>
    </w:p>
    <w:p>
      <w:r>
        <w:rPr>
          <w:b/>
        </w:rPr>
        <w:t>E. 2</w:t>
      </w:r>
    </w:p>
    <w:p>
      <w:r>
        <w:t>En revanche, il sera rappelé que la loi fédérale sur la partie générale du droit des assurances sociales du 6 octobre 2000 (LPGA ; RS 830.1),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3</w:t>
      </w:r>
    </w:p>
    <w:p>
      <w:r>
        <w:t>Le litige porte sur le droit du recourant à une rente entière d’invalidité postérieurement au 31 mai 2008.</w:t>
      </w:r>
    </w:p>
    <w:p>
      <w:r>
        <w:rPr>
          <w:b/>
        </w:rPr>
        <w:t>E. 4</w:t>
      </w:r>
    </w:p>
    <w:p>
      <w:r>
        <w:t>Selon la jurisprudence, une décision par laquelle l’assurance-invalidité accorde une rente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w:t>
      </w:r>
    </w:p>
    <w:p>
      <w:r>
        <w:t>A/4364/2009 - 16/27 - 2003,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5</w:t>
      </w:r>
    </w:p>
    <w:p>
      <w:r>
        <w:t>Il convient tout d’abord d’examiner si l’état de santé du recourant s’est amélioré dès le mois de février 2008, comme retenu par l’intimé, ou à un autre moment.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A/4364/2009 - 17/27 - entraîne une incapacité de travail ayant des effets sur la capacité de gain de l’assuré (MEYER-BLASER, Bundesgesetz über die Invalidenversicherung, Zurich 1997, p. 8).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w:t>
      </w:r>
    </w:p>
    <w:p>
      <w:r>
        <w:t>A/4364/2009 - 18/27 -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A/4364/2009 - 19/27 -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rPr>
          <w:b/>
        </w:rPr>
        <w:t>E. 6</w:t>
      </w:r>
    </w:p>
    <w:p>
      <w:r>
        <w:t>a) En l’occurrence, pour rappel, l’intimé s’est fondé sur le rapport d’expertise du Dr O_________ du 25 mars 2008 et sur celui du Dr L_________ du 14 février 2008 pour retenir que l’état de santé du recourant s’était amélioré en février 2008, moment auquel la capacité de travail était à nouveau entière, d’après lui, dans une activité lucrative adaptée. Afin de lever les incertitudes découlant des contradictions entre les conclusions du Dr O_________ et le rapport des EPI du 18 décembre 2008, qui concluait que seule une activité en milieu protégé était envisageable, une expertise a été confiée au Dr R________. Toutefois, le Tribunal fédéral a estimé que l’expertise de ce médecin du 21 avril 2010 n’avait pas de valeur probante, au motif d’une part, que les limitations fonctionnelles invoquées par le recourant avaient été retenues telles quelles par l’expert, et d’autre part, car des éléments n’entrant pas dans le champ de l’invalidité avaient été pris en considération par l’expert (âge du recourant, absence de formation, échec d’une tentative de réadaptation, marché du travail, installation du recourant dans son handicap). Qui plus est, l’anamnèse du Dr R________ était partielle et fantaisiste, sans évocation des rapports au dossier et tenait compte de manière erronée de la capacité de travail retenue par le Dr O_________ dans une activité adaptée. Suite au renvoi du dossier à la Cour de céans, une première expertise a été confiée au Dr S________, laquelle n’a pas été considérée comme probante, attendu qu’elle ne prenait en considération ni les imageries ni aucun rapport médical au dossier. Enfin, une dernière expertise orthopédique a été réalisée par le Dr U________. b) Au vu des éléments qui précèdent, la Cour de céans ne reviendra pas sur l’absence de valeur probante du rapport d’expertise du Dr R________. En ce qui concerne les rapports des Drs S________ et T________ des 18 mars et 12 avril 2013, il sera ajouté qu’outre le fait qu’ils ne sont pas fondés sur les rapports présents au dossier, le complément d’expertise est essentiellement basé sur les déclarations et plaintes du recourant. En particulier, les limitations fonctionnelles invoquées par le recourant ont été reprises telles quelles par l’expert, sans que celui-</w:t>
      </w:r>
    </w:p>
    <w:p>
      <w:r>
        <w:t>A/4364/2009 - 20/27 - ci n’explique si elles correspondaient effectivement à ses constatations objectives (cf. not. point 3a complément d’expertise). Leurs rapports ne sauraient ainsi se voir reconnaître de valeur probante au sens de la jurisprudence. Dès lors, l’argumentation du recourant fondée essentiellement sur les rapports des Drs R________ et S________, pour conclure qu’il ne pouvait plus travailler sur le marché ordinaire du travail, doit être rejetée. c/aa) Pour ce qui est du rapport du 5 décembre 2013 du Dr U________, dernier expert à s’être prononcé sur l’état de santé du recourant, il est basé sur une anamnèse du recourant, sur son dossier et en particulier sur les clichés radiologiques et les trois expertises précédemment effectuées, sur un examen du recourant et de nouveaux clichés radiologiques réalisés lors de l’examen ainsi que sur les plaintes du recourant. En outre, les constatations objectives ont été clairement exposées. Quant aux diagnostics, le Dr U________ s’est référé à la liste des diagnostics posés par le Dr R________, qu’il considérait être corrects, et a pour le surplus indiqué quelles étaient les atteintes qui persistaient tant à l’épaule, qu’au genou et à la cheville gauches. Il a d’ailleurs également précisé être d’accord avec les diagnostics retenus par le Dr O_________. En outre, il a expliqué quelles étaient les limitations fonctionnelles, qui étaient en lien avec les atteintes de l’épaule et du genou gauches et qui concernaient des limitations d’amplitude de ces deux articulations ainsi qu’une exclusion des travaux de force avec le bras droit et des efforts avec la jambe gauche qui étaient nécessités par l’activité lucrative habituelle. En ce qui concerne ses conclusions, le Dr V_______ a tout d’abord mentionné la difficulté de s’exprimer précisément sur l’état de santé en février 2008, soit cinq ans et demi avant son propre examen du recourant, ce qui semble tout à fait compréhensible. Pour déterminer le moment de la stabilisation de l’état de santé du recourant, permettant la reprise à 50% d’une activité lucrative adaptée aux limitations fonctionnelles, qu’il a fixé au 5 juillet 2007, il a indiqué s’être fondé sur l’ensemble du dossier, et en particulier sur les rapports du Dr M_________ et de la CRR, étant précisé que le Dr U________, en concluant sur la capacité de travail, a uniquement pris en considération les troubles orthopédiques, en faisant abstraction d’éventuels troubles psychiques ou de troubles oncologiques et pulmonaires. En particulier, si la situation n’était pas encore stabilisée à la fin du séjour auprès de la CRR, il résulte du rapport du 5 juillet 2007 du Dr M_________ que l’état de santé du recourant s’était stabilisé. En outre, la conclusion du Dr U________ que l’état de santé était stabilisé déjà dès le mois de juillet 2007 est corroborée par le rapport du 14 février 2008 du Dr L_________, qui a déclaré que la situation ne s’était pas améliorée au niveau du genou et de l’épaule gauche depuis une année, de sorte qu’il fallait admettre qu’elle était stabilisée. Cependant, bien que l’état du genou et de l’épaule était stabilisé, le Dr L_________ a précisé qu’au vu de la fracture non déplacée de la malléole interne (cheville gauche) en juin 2007, il fallait considérer que c’était 7 mois après cet accident – soit lors de l’établissement de son rapport en février 2008 environ – que l’état de la cheville était stabilisé.</w:t>
      </w:r>
    </w:p>
    <w:p>
      <w:r>
        <w:t>A/4364/2009 - 21/27 - Ce rapport du Dr L_________ permet également de confirmer la conclusion du Dr U________ quant à une capacité de travail uniquement exigible dans une activité lucrative adaptée, mais à un pourcentage réduit de 50% en raison des pauses supplémentaires et des changements de positions fréquents nécessités par les séquelles à l’épaule et au genou. En effet, une profession de substitution n’était pas susceptible d’être exercée, d’après le Dr L_________, qu'en position assise, position qui ne pouvait pas être maintenue de manière continue sans pause supplémentaire. Le Dr U________ s’est également exprimé, de manière succincte certes, sur les différents rapports d’expertise précédents, cependant, cela semble justifié par le fait que pour l’essentiel, les diagnostics et constatations objectives exposés par tous les experts sont très similaires, seules les conclusions étant divergentes. Enfin, l’OAI, par le biais de la Dresse P_________, invoque que le Dr U________ ne connaissait pas la notion de capacité de travail exigible et qu’il se basait sur des aspects subjectifs et non objectifs. A cet égard, la Cour de céans constate toutefois que le rapport du Dr U________ ne recèle pas de considérations subjectives et que cet expert s’est uniquement fondé sur ses constatations objectives des atteintes du recourant pour se déterminer sur les limitations fonctionnelles et la capacité de travail. Pour le surplus, les conclusions des rapports du Dr Q_________ concordent avec celles du Dr U________, dans la mesure notamment où il estime, en novembre 2009, que le rendement du recourant était diminué d’au moins 50% dans une activité assise adaptée, compte tenu des importantes limitations fonctionnelles. Au vu de tout ce qui précède, le rapport du Dr U________, qui ne contient qui plus est pas de contradictions, remplit tous les réquisits de la jurisprudence et doit donc se voir reconnaître a priori une pleine valeur probante. c/bb) Il convient, toutefois, d’examiner si le rapport du Dr O_________ permet de remettre en cause les conclusions du Dr U________. L’OAI considère en effet qu’il convient de suivre l’avis du SMR du 22 mai 2008, se basant en substance sur les conclusions du Dr O_________. La Cour de céans remarque que le Dr O_________ estime certes que la capacité de travail du recourant est de 100% dans une activité respectant les limitations fonctionnelles du recourant – l’accroupissement, l’agenouillement, les mouvements de force en traction/torsion des membres supérieurs, le port de charges au-delà de cinq kilogrammes, la marche sur terrain inégal, la montée et la descente répétée d’escaliers et les gestes sur une échelle – soit dans une activité en position assise, pour autant qu’il puisse se lever régulièrement. Il apparaît, toutefois, que cet expert ne semble pas avoir suffisamment tenu compte de l’importance des limitations du recourant en position assise. Cela est confirmé par les éléments suivants : le rapport de EPI, qui retient que le recourant ne peut pas tenir la position assise plus d’une heure et que les changements de position étaient difficiles et que les alternances</w:t>
      </w:r>
    </w:p>
    <w:p>
      <w:r>
        <w:t>A/4364/2009 - 22/27 - étaient longues, dans la mesure où il avait besoin de 5 à 10 minutes pour marcher avant de pouvoir reprendre la position assise ; le rapport du Dr R________, lequel relève une impossibilité de tenir la position assise prolongée, au vu du défaut de positionnement dans la position assise due à l’impossibilité d’extension et de flexion suffisante du genou ; le rapport du Dr S________, relevant l’impossibilité de la tenue de la position assise prolongée et des difficultés dans les changements de position. D’ailleurs, le Dr O_________ a admis, au vu de ses constatations objectives, l’importance des troubles du recourant à son genou gauche. Compte tenu de ces éléments, la conclusion du Dr O_________ portant sur la capacité de travail ne peut pas être retenue et n’est ainsi pas susceptible de remettre en cause les conclusions du Dr U________. d) En résumé, pour ce qui concerne les troubles orthopédiques du recourant, la Cour de céans considère que les conclusions du rapport du Dr U________ doivent être suivies et que le recourant présente, au degré de la vraisemblance prépondérante prévu par la jurisprudence, une capacité de travail de 50% dans une activité adaptée à ses limitations fonctionnelles. La date retenue pour l’amélioration durable de la capacité de travail est le 14 février 2008. En effet, comme exposé précédemment, si les atteintes au genou et à l’épaule gauches pouvaient déjà être considérées comme stabilisées en juillet 2007 comme déterminé par le Dr U________, celles à la cheville gauche ne l’ont été qu’en février 2008, soit 7 à 8 mois après l’accident de juin 2007.</w:t>
      </w:r>
    </w:p>
    <w:p>
      <w:r>
        <w:rPr>
          <w:b/>
        </w:rPr>
        <w:t>E. 7</w:t>
      </w:r>
    </w:p>
    <w:p>
      <w:r>
        <w:t>Il sied encore de se prononcer sur les autres troubles du recourant. a) Il y a lieu de rappeler ici, que d’après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b) De plus,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w:t>
      </w:r>
    </w:p>
    <w:p>
      <w:r>
        <w:t>A/4364/2009 - 23/27 - entre deux solutions: soit renvoyer la cause à l'administration pour complément d'instruction, soit procéder lui-même à une telle instruction complémentaire (ATF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(consid. 4.4.1.4 in fine de l'arrêt précité du 28 juin 2011).</w:t>
      </w:r>
    </w:p>
    <w:p>
      <w:r>
        <w:rPr>
          <w:b/>
        </w:rPr>
        <w:t>E. 8</w:t>
      </w:r>
    </w:p>
    <w:p>
      <w:r>
        <w:t>a) Premièrement, le recourant invoque qu’il souffre de troubles psychiques ayant une répercussion sur sa capacité de travail et sollicite un éventuel complément d’instruction sur le plan psychique. La majorité des experts, soit les Drs R________, S________ et U________, ainsi que le Dr Q_________ ont relevé l’existence de troubles psychiques avec plus ou moins d’importance sur les capacités du recourant à reprendre une activité lucrative adaptée à ses limitations fonctionnelles somatiques, toutefois, ces troubles ne relèvent pas de leur spécialité. Le seul rapport psychiatrique existant au dossier date du 12 mars 2007 et a été établi à la CRR. Il en résulte qu’il existait un trouble de l'adaptation avec une réaction dépressive prolongée, de sorte que ce trouble existait déjà lors de la décision litigieuse du 13 novembre 2009 et a visiblement persisté tout au long des années, au vu des rapports des différents médecins. Certes, le recourant n’a jamais eu de suivi psychiatrique, toutefois, on ne saurait faire fi des constatations des médecins et experts orthopédistes et interniste, compte tenu de l’importance que semblent avoir les troubles psychiques du recourant sur sa capacité à exercer une activité lucrative. Dès lors, la Cour de céans estime qu’il convient de renvoyer le dossier à l’intimé pour mise en œuvre d’une expertise portant sur les troubles psychiques et sur leur éventuelle influence sur la capacité de travail du recourant, l’intimé n’ayant jamais instruit le volet psychiatrique. b) Deuxièmement, en ce qui concerne l’affection oncologique et pulmonaire, elle a été mis en évidence en 2013, soit plusieurs années après la décision litigieuse, et ne saurait ainsi être inclue dans le présent litige. La demande de révision déjà déposée par le recourant devra être examinée par l’intimé et une nouvelle décision rendue. Le dossier lui sera ainsi renvoyé sur ce point.</w:t>
      </w:r>
    </w:p>
    <w:p>
      <w:r>
        <w:rPr>
          <w:b/>
        </w:rPr>
        <w:t>E. 9</w:t>
      </w:r>
    </w:p>
    <w:p>
      <w:r>
        <w:t>Reste à se déterminer sur le degré d’invalidité du recourant, compte tenu déjà de ses troubles orthopédiques. a) En vertu de l’art. 29 al. 1 LAI (dans sa teneur en vigueur jusqu’au 31 décembre 2007), le droit à la rente au sens de l’art. 28 prend naissance au plus tôt à la date dès laquelle l’assuré présente une incapacité de gain durable de 40 % au moins (art.</w:t>
      </w:r>
    </w:p>
    <w:p>
      <w:r>
        <w:t>A/4364/2009 - 24/27 - 7 LPGA), ou dès laquelle l’assuré a présenté, en moyenne, une incapacité de travail de 40 % au moins pendant une année sans interruption notable (art. 6 LPGA). La rente est allouée dès le début du mois au cours duquel le droit à la rente a pris naissance (art. 29 al. 2 LAI). Selon l’art. 28 al. 1er LAI dans sa teneur en vigueur du 1er janvier 2004 au 31 décembre 2007 (art. 28 al. 2 LAI dès le 1er janvier 2008), l’assuré a droit à une rente entière s’il est invalide à 70% au moins, à trois quarts de rente s’il est invalide à 60% au moins, à une demi-rente s’il est invalide à 50% au moins ou à un quart de rente s’il est invalide à 40% au moins. De plus, en vertu de l’art. 88a du règlement sur l’assurance-invalidité, du 17 janvier 1961 (RAI ; RS 831.201),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b)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publiés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 ESS (ATF 126 V</w:t>
      </w:r>
    </w:p>
    <w:p>
      <w:r>
        <w:t>A/4364/2009 - 25/27 - 75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10</w:t>
      </w:r>
    </w:p>
    <w:p>
      <w:r>
        <w:t>a) En l’occurrence, il sera rappelé que le droit du recourant à une rente entière d’invalidité est né le 1er mars 2007. b) De plus, il a précédemment été déterminé que l’état de santé du recourant s’est en tous les cas amélioré d’un point de vue orthopédique dès le 14 février 2008, date à laquelle sa capacité de travail était de 50% dans une activité lucrative adaptée. Ainsi, dans la mesure où le changement important de la capacité de travail ayant une incidence sur la capacité de gain remonte à février 2008, il convient de se placer en 2008 pour procéder à la comparaison des revenus (ATF non publié I 95/07 du 15 février 2008 consid. 5). En ce qui concerne le revenu sans invalidité 2008, l’intimé a retenu que le recourant aurait obtenu dans son activité habituelle un revenu annuel de 67'600 fr. en 2006. Celui-ci n’étant pas contesté et étant supérieur au revenu perçu en 2005 résultant du compte individuel du recourant, il n’y a pas lieu de s’en écarter. Adapté à l’Indice suisse des salaires nominaux (ISS ; 2006 : 2'014 et 2008 : 2'092), le revenu sans invalidité 2008 est de 70'218 fr. 05 (67'600 x 2'092 / 2’014).</w:t>
      </w:r>
    </w:p>
    <w:p>
      <w:r>
        <w:t>A/4364/2009 - 26/27 - Quant au revenu d’invalide, c’est à juste titre que l’intimé s’est fondé sur les salaires résultant des ESS, le recourant n’ayant pas repris d’activité lucrative. De plus, il y a lieu d’admettre que le marché du travail offre un éventail suffisamment large d’activités légères et assises, dont on droit convenir qu’un nombre significatif étaient adaptées à ce moment-là aux limitations du recourant et accessibles sans aucune formation particulière (ATF non publié 9C_31/2010 du 28 septembre 2010, consid. 4.3). Ainsi, d’après l’ESS 2008, le revenu mensuel standardisé d’un homme exerçant une activité simple et répétitive (tableau TA1, niveau de qualification 4, ligne totale, homme, part au 13ème salaire comprise) est de 4'806 francs. Ce salaire hypothétique, calculé sur la base d’un horaire de travail de 40 heures, doit encore être adapté à l’horaire de travail en 2008, lequel est de 41.6 heures (cf. Tableau « durée normale de travail dans les entreprise selon la division économique » de l’Office fédéral de la statistique), ainsi qu’à la capacité de travail de 50%. On obtient ainsi un revenu annuel brut de 29'989 fr. 45 (4'806 x 12 x 41.6 / 40 x 50%). En outre, l’intimé a retenu un abattement de 15% pour tenir compte des limitations fonctionnelles et du fait que seule une activité légère était possible. Toutefois, dans la mesure où ces deux critères ont précisément justifié la capacité de travail de 50%, ils ne sauraient être pris en considération une seconde fois dans l’abattement. En revanche, il convient de tenir compte du fait que le recourant était déjà âgé de 57 ans en 2008 et de son taux d’occupation qui n’est que de 50%. Compte tenu de la réalisation de ces deux critères, on peut raisonnablement retenir un abattement de 10%. Le revenu d’invalide 2008 s’élève ainsi de 26'990 fr. 55 (29'989.45 – 10% x 29'989.45). Le degré d’invalidité du recourant est ainsi de 62% ((70'218.05 – 26'990.55) x 100% / 70'218.05), taux lui ouvrant le droit à un trois-quarts de rente. Dès lors, les conditions de la révision du droit à la rente entière du recourant sont réalisées pour la diminuer à un trois-quarts de rente dès le 1er juin 2008, soit trois mois après l’amélioration de son état de santé durant le mois de février 2008.</w:t>
      </w:r>
    </w:p>
    <w:p>
      <w:r>
        <w:rPr>
          <w:b/>
        </w:rPr>
        <w:t>E. 11</w:t>
      </w:r>
    </w:p>
    <w:p>
      <w:r>
        <w:t>Par conséquent, le recours est partiellement admis et la décision de l’intimé réformée, en sens que le recourant a droit à une rente entière du 1er mars 2007 au 31 mai 2008, puis à un trois-quarts de rente. Pour le surplus, le dossier est renvoyé à l’intimé pour instruction concernant les troubles psychiques et les troubles oncologiques et pulmonaires, puis pour nouvelle décision. Une indemnité de 4'500 fr. est accordée au recourant à titre de participation à ses frais et dépens (art. 61 let. g LPGA et 89H al. 3 de la loi sur la procédure administrative, du 12 septembre 1985 – LPA ; RSG R 5 10). Etant donné que, depuis le 1er juillet 2006, la procédure n’est plus gratuite (art. 69 al. 1bis LAI et 89 H al. 4 LPA) et au vu du sort du recours, il y a lieu de condamner l’intimé au paiement d’un émolument de 200 francs.</w:t>
      </w:r>
    </w:p>
    <w:p>
      <w:r>
        <w:t>A/4364/2009 - 27/27 -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