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ATAS/485/2010 vom 6. Mai 2010</w:t>
      </w:r>
    </w:p>
    <w:p>
      <w:r>
        <w:t>GE Cour de justice, 2010-05-06, FR</w:t>
      </w:r>
    </w:p>
    <w:p>
      <w:r>
        <w:rPr>
          <w:b/>
        </w:rPr>
        <w:t xml:space="preserve">Quelle: </w:t>
      </w:r>
      <w:r>
        <w:t>https://mcp.opencaselaw.ch/entscheid/ge_gerichte_ATAS_485_2010</w:t>
      </w:r>
    </w:p>
    <w:p>
      <w:r>
        <w:t>FR: GE_GERICHTE ATAS/485/2010 du 6 mai 2010</w:t>
      </w:r>
    </w:p>
    <w:p>
      <w:r>
        <w:t>IT: GE_GERICHTE ATAS/485/2010 del 6 maggio 2010</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w:t>
      </w:r>
    </w:p>
    <w:p>
      <w:r>
        <w:t>A/2790/2009 - 5/12 - l’assurance-invalidité du 19 juin 1959 (LAI).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 recourante à des prestations de l’assurance-invalidité à la suite de sa demande du 8 août 2008.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ainsi que des modifications de la LAI du 6 octobre 2006 (5ème révision de la LAI), entrées en vigueur le 1er janvier 2008. a) L'art. 69 al. 1 LAI prévoit que les décisions des offices AI cantonaux peuvent faire directement l'objet d'un recours devant le tribunal des assurances du canton de l'office qui a rendu la décision. b) En l'espèce, l'OCAI a communiqué à l'assuré un projet de décision en date du 5 juin 2009, qui a été confirmé par la décision du 10 juillet 2009, contre laquelle l'assurée a interjeté directement recours devant le Tribunal de céans le 4 août 2009. c) Interjeté dans les forme et délai prévus par la loi, devant l'autorité compétente, le recours est en conséquence recevable (art. 56 ss LPGA).</w:t>
      </w:r>
    </w:p>
    <w:p>
      <w:r>
        <w:rPr>
          <w:b/>
        </w:rPr>
        <w:t>E. 2</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3</w:t>
      </w:r>
    </w:p>
    <w:p>
      <w:r>
        <w:t>a) Depuis l'entrée en vigueur, le 1er janvier 2004, de la novelle du 21 mars 2003 modifiant la LAI (4ème révision) la teneur de l'art. 28 al. 1 LAI, valable jusqu'au 31 décembre 2007 (aLAI) est la suivante : «1. L'assuré a droit à une rente s'il est</w:t>
      </w:r>
    </w:p>
    <w:p>
      <w:r>
        <w:t>A/2790/2009 - 6/12 - invalide à 40 % au moins. La rente est échelonnée comme suit, selon le taux d'invalidité : 40 % au moins un quart, 50 % au moins une demie, 60 % au moins trois-quarts, 70 % au moins rente entière.». b) Selon l'art. 29 al. 1 LAI, le droit à la rente prend naissance au plus tôt à l’échéance d’une période de six mois à compter de la date à laquelle l’assuré a fait valoir son droit aux prestations conformément à l’art. 29 al. 1er LPGA, mais pas avant le mois qui suit le dix-huitième anniversaire de l’assuré (al. 1er). c) Selon l'art. 88a RAI, en vigueur depuis le 1er mars 2004, si la capacité de gain ou la capacité d’accomplir les travaux habituels d’un assuré s’améliore ou que son impotence ou le besoin de soins découlant de l’invalidité s’atténue, il y a lieu de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w:t>
      </w:r>
    </w:p>
    <w:p>
      <w:r>
        <w:rPr>
          <w:b/>
        </w:rPr>
        <w:t>E. 4</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w:t>
      </w:r>
    </w:p>
    <w:p>
      <w:r>
        <w:t>A/2790/2009 - 7/12 -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t>A/2790/2009 - 8/12 -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A/2790/2009 - 9/12 -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8</w:t>
      </w:r>
    </w:p>
    <w:p>
      <w:r>
        <w:t>En l'espèce, compte tenu des avis divergents du SMR et de la Dresse A__________, il se justifie d’instruire la cause par le biais d’une expertise</w:t>
      </w:r>
    </w:p>
    <w:p>
      <w:r>
        <w:t>A/2790/2009 - 10/12 - psychiatrique judiciaire, laquelle sera confiée au Dr E__________, spécialiste FMH en psychiatrie et psychothérapie. Au demeurant, il n'y pas lieu de soumettre au Dr E__________ le questionnaire standard de l'OAI dès lors que l'intimé ne prétend pas que la présente mission d'expertise omettrait de poser une ou des questions pertinentes dans le cas d'espèce. La question i sera néanmoins complétée afin que l'expert expose les éventuelles limitations qui empêcheraient ou réduiraient l'exercice d'une activité lucrative.</w:t>
      </w:r>
    </w:p>
    <w:p>
      <w:r>
        <w:t>A/2790/2009 - 11/12 -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