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ATAS/484/2018 vom 4. Juni 2018</w:t>
      </w:r>
    </w:p>
    <w:p>
      <w:r>
        <w:t>GE Cour de justice, 2018-06-04, FR</w:t>
      </w:r>
    </w:p>
    <w:p>
      <w:r>
        <w:rPr>
          <w:b/>
        </w:rPr>
        <w:t xml:space="preserve">Quelle: </w:t>
      </w:r>
      <w:r>
        <w:t>https://mcp.opencaselaw.ch/entscheid/ge_gerichte_ATAS_484_2018</w:t>
      </w:r>
    </w:p>
    <w:p>
      <w:r>
        <w:t>FR: GE_GERICHTE ATAS/484/2018 du 4 juin 2018</w:t>
      </w:r>
    </w:p>
    <w:p>
      <w:r>
        <w:t>IT: GE_GERICHTE ATAS/484/2018 del 4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Selon l’art. 18c al. 1 LACI, les prestations de vieillesse de la prévoyance professionnelle sont déduites de l'indemnité de chômage. Selon l’art. 32 de l’ordonnance sur l'assurance-chômage obligatoire et l'indemnité en cas d'insolvabilité du 31 août 1983 (ordonnance sur l’assurance-chômage, OACI - RS 837.02), sont considérées comme prestations de vieillesse les prestations de</w:t>
      </w:r>
    </w:p>
    <w:p>
      <w:r>
        <w:t>A/980/2018 - 4/6 - prévoyance professionnelle obligatoire et surobligatoire auxquelles l'assuré avait droit lorsqu'il a atteint la limite d'âge réglementaire pour la retraite anticipée.</w:t>
      </w:r>
    </w:p>
    <w:p>
      <w:r>
        <w:rPr>
          <w:b/>
        </w:rPr>
        <w:t>E. 4</w:t>
      </w:r>
    </w:p>
    <w:p>
      <w:r>
        <w:t>a. Contrairement à ce qui prévaut en cas de versement d'une rente AVS, l'octroi de prestations de vieillesse de la prévoyance professionnelle n'entraîne pas automatiquement la fin du droit aux indemnités journalières de l'assurance- chômage. Mais plusieurs dispositions ont été édictées en vue d'éviter le cumul injustifié de prestations. Le législateur a notamment habilité le Conseil fédéral à déroger aux règles concernant la prise en compte des périodes de cotisations pour les assurés mis à la retraite avant d'avoir atteint l'âge de la retraite selon l'art. 21 al. 1 LAVS, mais qui désirent continuer à exercer une activité salariée (art. 13 al. 3 LACI). Pour ces personnes, seule est prise en compte, comme période de cotisation, l'activité soumise à cotisation qu'elles ont exercée après leur mise à la retraite (art. 12 al. 1 OACI).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129 V 327 consid. 4 p. 329; ATF 126 V 393 consid. 3 p. 396 ; ATF 144 V 41). En dérogation à l'art. 12 al. 1 OACI,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129 V 327 consid. 3.1 p. 328; ATF 123 V 142 consid. 4b p. 146). b. L'art. 18c al. 1 LACI a lui aussi été édicté pour éviter un cumul injustifié de prestations de vieillesse de la prévoyance professionnelle et de l'assurance- chômage. En prévoyant que les prestations de vieillesse sont portées en déduction de celles versées par l'assurance-chômage, il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w:t>
      </w:r>
    </w:p>
    <w:p>
      <w:r>
        <w:t>A/980/2018 - 5/6 - l'octroi de prestations de vieillesse (arrêt du Tribunal fédéral des assurances C 214/03 du 23 avril 2004, publié in SVR 2005 ALV no 8 p. 25, consid. 2.1). En cas de versement d'une telle prestation sous la forme d'un capital, celui-ci doit être converti en une rente de vieillesse mensuelle qui sera imputée sur les prestations de l'assurance-chômage (arrêt du Tribunal fédéral des assurances C 310/98 du 23 août 1999, publié in SVR 2000 ALV n° 7 p. 21, consid. 5 s. ; ATF 134 V 418). Par ailleurs, le Tribunal fédéral a jugé qu’il n’est pas habilité à contrôler la légalité de l’art. 18c al. 1 LACI (art. 191 Cst ; ATF 132 II 234 ; 131 II 562 ; arrêt du Tribunal fédéral C 251/06 du 22 novembre 2017).</w:t>
      </w:r>
    </w:p>
    <w:p>
      <w:r>
        <w:rPr>
          <w:b/>
        </w:rPr>
        <w:t>E. 5</w:t>
      </w:r>
    </w:p>
    <w:p>
      <w:r>
        <w:t>En l’occurrence, il n’est pas contesté que la recourante est, depuis le 1er avril 2017, au bénéfice de prestation de vieillesse de la prévoyance professionnelle, au sens de l’art. 18c LACI. Cette disposition, dont les termes sont clairs, lui est dès lors applicable, et cela quel que soit le contexte dans lequel la retraite anticipée lui a été allouée ; l’art. 18c LACI ne permet en effet pas de tenir compte d’un tel contexte et sa légalité ne peut pas être contrôlée. Au surplus, le litige ne portant pas sur la détermination de la période de cotisation, l’ATF 144 V 42, cité par la recourante, n’est pas pertinent dans le cas d’espèce.</w:t>
      </w:r>
    </w:p>
    <w:p>
      <w:r>
        <w:rPr>
          <w:b/>
        </w:rPr>
        <w:t>E. 6</w:t>
      </w:r>
    </w:p>
    <w:p>
      <w:r>
        <w:t>Au vu de ce qui précède, il sera renoncé, par appréciation anticipée des preuves, à l’audition de la recourante et des témoins cités, étant relevé que l’art. 29 al. 2 Cst ne confère pas à la recourante le droit d’être entendue oralement (ATF 134 I 140).</w:t>
      </w:r>
    </w:p>
    <w:p>
      <w:r>
        <w:rPr>
          <w:b/>
        </w:rPr>
        <w:t>E. 7</w:t>
      </w:r>
    </w:p>
    <w:p>
      <w:r>
        <w:t>Enfin, la recourante ne conteste pas le calcul des indemnités opéré par la Caisse, de sorte que la décision litigieuse ne peut qu’être confirmée et le recours rejeté. Pour le surplus, la procédure est gratuite.</w:t>
      </w:r>
    </w:p>
    <w:p>
      <w:r>
        <w:t>A/980/2018 - 6/6 -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