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ATAS/484/2017 vom 13. Juni 2017</w:t>
      </w:r>
    </w:p>
    <w:p>
      <w:r>
        <w:t>GE Cour de justice, 2017-06-13, FR</w:t>
      </w:r>
    </w:p>
    <w:p>
      <w:r>
        <w:rPr>
          <w:b/>
        </w:rPr>
        <w:t xml:space="preserve">Quelle: </w:t>
      </w:r>
      <w:r>
        <w:t>https://mcp.opencaselaw.ch/entscheid/ge_gerichte_ATAS_484_2017</w:t>
      </w:r>
    </w:p>
    <w:p>
      <w:r>
        <w:t>FR: GE_GERICHTE ATAS/484/2017 du 13 juin 2017</w:t>
      </w:r>
    </w:p>
    <w:p>
      <w:r>
        <w:t>IT: GE_GERICHTE ATAS/484/2017 del 13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litigieuse ayant été rendue en application de la LAI.</w:t>
      </w:r>
    </w:p>
    <w:p>
      <w:r>
        <w:t>A/2991/2016 - 9/18 -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12 septembre 2016 contre la décision litigieuse du 11 juillet 2016, a été formé en temps utile (art. 60 al. 1 LPGA), compte tenu de la suspension du délai de recours du 15 juillet au 15 août inclusivement (art. 38 al. 4 let. b LPGA , cf. aussi art. 89C let. b LPA). Touché par ladite décision, et ayant un intérêt digne de protection à son annulation ou à sa modification, le recourant a qualité pour recourir (art. 59 LPGA). Son recours satisfait aux exigences de forme et de contenu prévues par l’art. 61 let. b LPGA (cf. aussi art. 89B LPA).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fouillée des points litigieux importants, se fondent sur des examens complets,</w:t>
      </w:r>
    </w:p>
    <w:p>
      <w:r>
        <w:t>A/2991/2016 - 10/18 - prennent également en considération les plaintes exprimées, aient été établis en pleine connaissance du dossier (anamnèse), décrivent clairement les interférences et enfin contiennent des conclusions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a. Le litige porte sur la question de savoir si le recourant peut être mis au bénéfice d’une rente d’invalidité, et s’il a droit à des mesures d’ordre professionnel. b.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w:t>
      </w:r>
    </w:p>
    <w:p>
      <w:r>
        <w:t>A/2991/2016 - 11/18 - En l’espèce, s’agissant de la LAI, dès lors que la demande de prestations de l’AI est intervenue le 5 mai 2015 et que les faits déterminants se sont produits dès la fin de l’année 2014, le droit applicable est le droit actuellement en vigueur, résultant de la dernière révision de la LAI, dite 6a du 18 mars 2011, entrée en vigueur le 1er janvier 2012. Au demeurant, 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3.2</w:t>
      </w:r>
    </w:p>
    <w:p>
      <w:r>
        <w:t>; I 188/01 du 7 novembre 2001 consid. 1b et 2a ; I 665/99 du 18 octobre 2000 consid. 4b). e. La comparaison des revenus fondée sur les revenus avec et sans invalidité précités, retenus à juste titre par l’intimé, donne une perte de revenu de CHF 31.- par année, autrement dit aucune perte de gain. Le recourant n’est pas invalide au regard de la LAI. Le recourant n’a pas droit à une rente d’invalidité. Comme il ne subit pas de perte de gain, il ne saurait non plus avoir droit à une quelconque mesure de réadaptation, le but d’aucune d’elles n’étant de mettre l’assuré dans une position économique et professionnelle meilleure que celle qu’il occupait antérieurement (ch.4002 de la Circulaire sur les mesures de réadaptation d’ordre professionnel [CMRP], éditée par l’office fédéral des assurances sociales, version valable à partir du 1er janvier 2013). 8. Entièrement mal fondé, le recours doit être rejeté. 9. La procédure n’étant pas gratuite en matière de contestations portant sur l’octroi ou le refus de prestations de l’AI devant le tribunal cantonal des assurances (donc la chambre de céans), en dérogation à l’art. 61 let. a LPGA (art. 69 al. 1bis phr. 1 LAI), il y a lieu de condamner le recourant au paiement d'un émolument, arrêté en l’espèce au minimum de CHF 200.- (art. 69 al. 1bis phr. 2 in fine LAI). Il n’y a pas d’indemnité de procédure à allouer, ni au recourant, qui succombe (art. 61 let. g LPGA), ni à l’intimé en tant qu’assureur social (Ueli KIESER, op. cit., n. 199 s. ad art. 61).</w:t>
      </w:r>
    </w:p>
    <w:p>
      <w:r>
        <w:t>* * * * * *</w:t>
      </w:r>
    </w:p>
    <w:p>
      <w:r>
        <w:t>A/2991/2016 - 18/18 - PAR CES MOTIFS, LA CHAMBRE DES ASSURANCES SOCIALES : Statuant À la forme :</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w:t>
      </w:r>
    </w:p>
    <w:p>
      <w:r>
        <w:t>A/2991/2016 - 12/18 -</w:t>
      </w:r>
    </w:p>
    <w:p>
      <w:r>
        <w:rPr>
          <w:b/>
        </w:rPr>
        <w:t>E. 5</w:t>
      </w:r>
    </w:p>
    <w:p>
      <w:r>
        <w:t>a.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 à la capacité de gain ; est déterminant l'empêchement, causé par l'atteinte à la santé, d'accomplir les travaux habituels, comme la tenue du ménage, l'éducation des enfants, les achats (art. 8 al. 3 LPGA, auquel renvoie l'art. 5 al. 1 LAI). b.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w:t>
      </w:r>
    </w:p>
    <w:p>
      <w:r>
        <w:rPr>
          <w:b/>
        </w:rPr>
        <w:t>E. 6</w:t>
      </w:r>
    </w:p>
    <w:p>
      <w:r>
        <w:t>a. En l’espèce, le recourant n’amène pas d’éléments médicaux un tant soit peu probants qui viendraient discréditer le rapport médical du Dr F______. Et il ne s’en trouve pas au dossier qui devraient se voir reconnaître du poids. b. Le rapport du Dr F______ comporte, d’un point de vue formel, toutes les rubriques devant figurer dans un rapport qui aurait valeur de rapport d’expertise. Il relate l’anamnèse détaillée du recourant, fait mention de ses plaintes et données subjectives, décrit les résultats détaillés de l’examen clinique de l’assuré (une page et demi), en particulier son status ostéo-articulaire et l’analyse de son dossier radiologique, posé les diagnostics, comporte une discussion du cas et contient des conclusions. Matériellement, le rapport médical rhumatologique du Dr F______ témoigne d’un examen clinique approfondi, dont les résultats – ajoutés à ceux de l’analyse du dossier radiologique – convainquent de la pertinence et justesse des conclusions auxquelles aboutit ledit médecin. Ledit rapport doit se voir reconnaître pleine valeur probante. c. Il sied, dans ce contexte, de relever notamment ce qui suit au titre du status ostéo-articulaire (référence étant faite au demeurant à l’intégralité dudit rapport) :</w:t>
      </w:r>
    </w:p>
    <w:p>
      <w:r>
        <w:t>A/2991/2016 - 13/18 - Au niveau du rachis lombaire, les signes comportementaux de Waddel sont absents, et il n’y a pas de troubles statiques hormis une hyperlordose lombaire, et des contractures musculaires para-vertébrales lombaires bilatérales de L3 à S1 des deux côtés sont objectivées. Il n’y a de syndrome rachidien ni au niveau du rachis dorsal, ni à celui du rachis cervical. Les articulations sacro-iliaques sont calmes. Dans les articulations périphériques, les points de fibromyalgie sont indolores et il n’y a ni arthrite ni ténosynovite. Il n’y a rien de particulier à signaler (comme des limitations de la mobilité, des déformations, des douleurs) au niveau des épaules, des coudes, des poignets et des mains, des hanches, des genoux ainsi que des chevilles et des pieds. Concernant le status neurologique, la manœuvre de Lasègue ne génère pas de douleurs dans les membres inférieurs, mais que des lombalgies des deux côtés; il n’y a pas de signe Lasègue contralatéral, et les signes de Léri sont négatifs des deux côtés ; les points de Valleix sont indolores ; le recourant est capable de marcher sans difficultés sur les pointes des pieds et sur les talons. S’agissant du dossier radiologique du recourant, les radiographies standards de la colonne lombaire de face et de profil du 25 mars 2015 sont sans particularités ; il n’y a ni spondylolisthésis ni discopathies, mais on constate l’existence de six vertèbres d’allure lombaire compatible avec une anomalie transitionnelle lombo- sacrée. L’IRM lombaire du 14 avril 2016 révèle l’absence de hernie discale ou de conflit disco-radiculaire ; il n’y a pas de canal lombaire étroit ; elle permet d’objectiver une arthrose facettaire prononcée en L3-L4 à droite et dans une moindre mesure en L4-L5 et également une infiltration inflammatoire musculaire très légèrement oedémateuse para-vertébrale postérieure de L3 à L5. La chambre de céans ne voit pas de critique à émettre quant aux diagnostics posés par ledit médecin, qui sont ceux de lombalgies chroniques aspécifiques (arthrose facettaire L3-L4 et L4-L5), de déconditionnement physique avec obésité de classe I (avec un IMC de 31.2 kg/m2) et de tabagisme chronique. La discussion du cas amène le Dr F______ à retenir notamment que le recourant connaîssait une restriction de la mobilité lombaire antérieure et latérale et une exacerbation douloureuse lombaire lors de l’hyperextension lombaire, et qu’il manifestait des lombalgies simples sans radiculalgies, ayant tendance à se chroniciser dans un contexte de surcharge facettaire postérieure lombaire sans élément de troubles neurologiques déficitaires ou irritatifs aux membres inférieurs. Ledit médecin relève cependant aussi que l’examen ostéo-articulaire et neurologique était pour le surplus dans la norme, sans aucun signe radiculaire irritatif ou déficitaire d’un point de vue neurologique aux membres inférieurs, et qu’il n’y avait pas de hernie discale, ni de signe de conflit disco-radiculaire et essentiellement une arthrose facettaire postérieure banale. Le Dr F______ se dit frappé par l’important déconditionnement physique du recourant, qui présente au surplus une obésité de classe I et une ptose abdominale. Rien ne permet de ne serait-ce que suspecter que ledit médecin aurait sous-estimé les limitations fonctionnelles du recourant. Il a résumé les dires de ce dernier quant aux fréquents arrêts qu’il avait dû faire lors de son voyage en voiture au Portugal, et</w:t>
      </w:r>
    </w:p>
    <w:p>
      <w:r>
        <w:t>A/2991/2016 - 14/18 - il a fait mention des difficultés que celui-ci a eues pour changer de position sur le lit d’examen. Ce n’est au demeurant à l’évidence pas sur la base du constat que le recourant a pu faire un voyage en voiture au Portugal que le Dr F______ a arrêté ses conclusions, mais en considération de l’ensemble des éléments médicaux pertinents qu’il a constatés. d. Il n’y a pas de raison de ne pas s’en tenir auxdites conclusions, à savoir de considérer que s’il a une capacité de travail nulle dans son ancienne activité d’ouvrier agricole (depuis le 9 décembre 2014, quoique le recourant a pu ré-exercer cette activité entre le 8 juin et le 3 novembre 2015, vraisemblablement non sans difficultés puisqu’il a été licencié), le recourant a une pleine capacité de travail dans une activité adaptée respectant ses limitations fonctionnelles.</w:t>
      </w:r>
    </w:p>
    <w:p>
      <w:r>
        <w:rPr>
          <w:b/>
        </w:rPr>
        <w:t>E. 7</w:t>
      </w:r>
    </w:p>
    <w:p>
      <w:r>
        <w:t>a. Selon l’art. 16 LPGA, auquel renvoie l’art. 28a al. 1 LAI pour l’évaluation de l’invalidité des assurés exerçant une activité lucrative,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l’ESS édité par l'Office fédéral de la statistique. En l’espèce, l’intimé a retenu, comme revenu sans invalidité, celui que le recourant aurait effectivement perçu s’il avait continué à exercer son métier d’ouvrier agricole dans le domaine de la culture maraîchère, selon les indications fournies par son ancien employeur. C’est ainsi à juste titre qu’il a pris en considération un revenu annuel brut réactualisé pour 2015 de CHF 60'000.-.</w:t>
      </w:r>
    </w:p>
    <w:p>
      <w:r>
        <w:t>A/2991/2016 - 15/18 - c. Quant au revenu d'invalide, il doit être évalué avant tout en fonction de la situation concrète de l'intéressé, en particulier de sa formation professionnelle et de ses aptitudes physiques et mentales, aussi de son âge et, évidemment, de ses limitations fonctionnelles (ATF 135 V 297 consid. 5.2). Ce n'est cependant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mais sans émettre à cet égard des exigences excessives (arrêt du Tribunal fédéral des assurances I 198/97 du 7 juillet 1998 consid. 3b ; Michel VALTERIO, op. cit., n. 2109 ss). En application de ce principe, la jurisprudence admet très largement le caractère exigible d'une activité (Ulrich MEYER, Rechtsprechung des Bundesgerichts zum IVG, 2ème éd., p. 294ss). Lorsque l'assuré n'a pas repris d'activité, ou aucune activité adaptée lui permettant de mettre pleinement en valeur sa capacité de travail résiduelle, le revenu d'invalide peut être évalué sur la base de données statistiques, telles qu'elles résultent de l’ESS (ATF 126 V 75 consid. 3b/aa et bb ; 124 V 321 consid. 3b/aa). On se réfère alors à la statistique des salaires bruts standardisés, en se fondant sur la médiane ou valeur centrale (ATF 124 V 321 consid. 3b/bb ; Michel VALTERIO, op. cit., n. 2121 ss). En l’espèce, le recourant n’ayant pas repris d’activité lucrative, l’intimé, à bon droit, a établi son revenu avec invalidité en se basant sur l’ESS et en retenant un revenu qu’un homme exerçant des tâches physiques ou manuelles simples peut toucher dans tous les secteurs confondus (tableau TA1_tirage_skill-level), soit – abstraction faite à ce stade d’un abattement – un revenu annuel brut indexé pour 2015 de CHF 66'633.-. Ce type d’activités recouvre un large éventail d’activités compatibles avec les limitations fonctionnelles que présente le recourant, et que ce dernier, âgé de 37 ans (lors de la prise de la décision attaquée), est à même d’exercer sans formation spécifique, sinon celle que tout un chacun peut acquérir « sur le tas », et au surplus avec ses connaissances même limitées du français parlé et surtout écrit. Sans doute ne peut-on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Rien n’autorise cependant à considérer que les activités couvertes par le tableau retenu par l’intimé, toutes ou même majoritairement, requièrent le port ou le soulèvement de charges de plus de 10 kg et/ou devraient s’exercer en position de porte-à-faux avec le buste, ou nécessiteraient des mouvements de torsion du rachis lombaire, sans possibilité d’alterner les positions debout et assis toutes les 30 à 45 minutes.</w:t>
      </w:r>
    </w:p>
    <w:p>
      <w:r>
        <w:t>A/2991/2016 - 16/18 - d. Il est notoire que les personnes atteintes dans leur santé, qui présentent des limitations pour accomplir leurs activités,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 arrêt du Tribunal fédéral 9C_690/2016 du 27 avril 2017 consid. 3 et 5).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 Michel VALTERIO, op. cit., n. 2129 ss). En l’espèce, contrairement à ce que le recourant a laissé entendre ou a compris de la décision attaquée, l’intimé a opéré un abattement sur le salaire résultant des données statistiques, pour tenir compte de ses fonctionnelles, soit un abattement de</w:t>
      </w:r>
    </w:p>
    <w:p>
      <w:r>
        <w:rPr>
          <w:b/>
        </w:rPr>
        <w:t>E. 10</w:t>
      </w:r>
    </w:p>
    <w:p>
      <w:r>
        <w:t>%, raison pour laquelle le revenu avec invalidité retenu est de CHF 59'969.- (et non de CHF 66'633.-). Les limitations fonctionnelles du recourant ne justifient pas un abattement supérieur à 10 %. Les autres motifs d’un abattement du revenu avec invalidité résultant de statistiques n’ont pas à être retenus dans son cas, car ils sont sans incidence effective sur le revenu qu’il pourrait percevoir dans une activité adaptée respectant ses limitations fonctionnelles. Ainsi en va-t-il en particulier de son âge (37 ans lors de la prise de la décision attaquée), de sa nationalité et de la catégorie d’autorisation de séjour qu’il a (une autorisation d’établissement comme ressortissant de l’Union européenne). Au demeurant, avec un abattement maximal de 25 %, le revenu avec invalidité du recourant serait de CHF 49'975.-, et le recourant subirait une perte de gain de CHF 10'025.-, qui représenterait le 16.7 % (arrondi à 17 %) de son revenu sans invalidité. L’issue qu’il faudrait donner au recours ne serait pas différente, dès lors</w:t>
      </w:r>
    </w:p>
    <w:p>
      <w:r>
        <w:t>A/2991/2016 - 17/18 - qu’un tel taux d’invalidité n’ouvrirait pas le droit à une rente d’invalidité, pour lequel il faut un degré d’invalidité minimal de 40 % (art. 28 al. 1 LAI), ni d’ailleurs à un reclassement professionnel, pour lequel le taux d’invalidité de l’intéressé doit être de l’ordre de 20 % (ATF 130 V 488 consid. 4.2 ; arrêts du Tribunal fédéral des assurances I 18/05 du 8 juillet 2005 consid. 2 ; I 118/04 du 13 avril 2006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