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ATAS/483/2024 vom 20. Juni 2024</w:t>
      </w:r>
    </w:p>
    <w:p>
      <w:r>
        <w:t>GE Cour de justice, 2024-06-20, FR</w:t>
      </w:r>
    </w:p>
    <w:p>
      <w:r>
        <w:rPr>
          <w:b/>
        </w:rPr>
        <w:t xml:space="preserve">Quelle: </w:t>
      </w:r>
      <w:r>
        <w:t>https://mcp.opencaselaw.ch/entscheid/ge_gerichte_ATAS_483_2024</w:t>
      </w:r>
    </w:p>
    <w:p>
      <w:r>
        <w:t>FR: GE_GERICHTE ATAS/483/2024 du 20 juin 2024</w:t>
      </w:r>
    </w:p>
    <w:p>
      <w:r>
        <w:t>IT: GE_GERICHTE ATAS/483/2024 del 20 giugno 2024</w:t>
      </w:r>
    </w:p>
    <w:p>
      <w:pPr>
        <w:pStyle w:val="Heading2"/>
      </w:pPr>
      <w:r>
        <w:t>Erwägungen</w:t>
      </w:r>
    </w:p>
    <w:p>
      <w:r>
        <w:rPr>
          <w:b/>
        </w:rPr>
        <w:t>E. 1</w:t>
      </w:r>
    </w:p>
    <w:p>
      <w:r>
        <w:t>Déclare le recours irrecevable en tant qu’il est dirigé contre l’avis de saisie du 3 mai 2024.</w:t>
      </w:r>
    </w:p>
    <w:p>
      <w:r>
        <w:rPr>
          <w:b/>
        </w:rPr>
        <w:t>E. 2</w:t>
      </w:r>
    </w:p>
    <w:p>
      <w:r>
        <w:t>Le transmet à la chambre de surveillance de la Cour de justice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 la santé publique par le greffe le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