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ATAS/483/2014 vom 8. April 2014</w:t>
      </w:r>
    </w:p>
    <w:p>
      <w:r>
        <w:t>GE Cour de justice, 2014-04-08, FR</w:t>
      </w:r>
    </w:p>
    <w:p>
      <w:r>
        <w:rPr>
          <w:b/>
        </w:rPr>
        <w:t xml:space="preserve">Quelle: </w:t>
      </w:r>
      <w:r>
        <w:t>https://mcp.opencaselaw.ch/entscheid/ge_gerichte_ATAS_483_2014</w:t>
      </w:r>
    </w:p>
    <w:p>
      <w:r>
        <w:t>FR: GE_GERICHTE ATAS/483/2014 du 8 avril 2014</w:t>
      </w:r>
    </w:p>
    <w:p>
      <w:r>
        <w:t>IT: GE_GERICHTE ATAS/483/2014 del 8 aprile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rPr>
          <w:b/>
        </w:rPr>
        <w:t>E. 2</w:t>
      </w:r>
    </w:p>
    <w:p>
      <w:r>
        <w:t>Sa compétence pour juger du cas d’espèce est ainsi établie.</w:t>
      </w:r>
    </w:p>
    <w:p>
      <w:r>
        <w:rPr>
          <w:b/>
        </w:rPr>
        <w:t>E. 3</w:t>
      </w:r>
    </w:p>
    <w:p>
      <w:r>
        <w:t>A teneur de l’art. 1 al. 1 LAI ;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Le recours a été interjeté en temps utiles.</w:t>
      </w:r>
    </w:p>
    <w:p>
      <w:r>
        <w:rPr>
          <w:b/>
        </w:rPr>
        <w:t>E. 5</w:t>
      </w:r>
    </w:p>
    <w:p>
      <w:r>
        <w:t>Le litige porte sur le droit de l’assurée à des prestations AI.</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A/3441/2013 - 5/9 -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t>A/3441/2013 - 6/9 -</w:t>
      </w:r>
    </w:p>
    <w:p>
      <w:r>
        <w:rPr>
          <w:b/>
        </w:rPr>
        <w:t>E. 9</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10</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13</w:t>
      </w:r>
    </w:p>
    <w:p>
      <w:r>
        <w:t>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w:t>
      </w:r>
    </w:p>
    <w:p>
      <w:r>
        <w:rPr>
          <w:b/>
        </w:rPr>
        <w:t>E. 16</w:t>
      </w:r>
    </w:p>
    <w:p>
      <w:r>
        <w:t>décembre 2008, consid. 4).</w:t>
      </w:r>
    </w:p>
    <w:p>
      <w:r>
        <w:t>A/3441/2013 - 7/9 -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 14. En l'espèce, l’OAI a considéré que l’assurée était capable d’exercer une activité professionnelle à plein temps, pour autant que cette activité soit adaptée à ses limitations fonctionnelles. Elle ne pouvait dès lors prétendre ni à une rente d’invalidité ni à des mesures de réadaptation professionnelles. 15. La Chambre de céans constate que seul le médecin du SMR a fixé le taux de capacité de travail de l’assurée dans une activité adaptée. Ni la Dresse L__________, ni le Dr O_________ ne se sont prononcés sur cette question. La première a considéré qu’elle n’était pas apte à donner un quelconque chiffre, le second a précisé que cette capacité de travail devait pouvoir être évaluée par un stage. Or, les médecins du SMR sont liés par un rapport de travail avec l’OAI. Si ce fait n’enlève a priori aucunement la valeur probante de leur examen, il faut relever cependant qu’il ne s’agit pas de médecins indépendants spécialistes reconnus au sens de la jurisprudence susmentionnée, et donc que leur analyse ne vaut pas expertise (ATAS/132/2007). En l’occurrence le médecin du SMR s’est vraisemblablement fondé sur les limitations fonctionnelles observées par la Dresse L__________ dans son rapport du 5 juillet 2012, sans autre considération.</w:t>
      </w:r>
    </w:p>
    <w:p>
      <w:r>
        <w:t>A/3441/2013 - 8/9 - Il apparaît ainsi que l’instruction de l’OAI n’est pas complète. Les médecins sont unanimes à exclure la possibilité pour l’assurée de reprendre son activité habituelle de serveuse. Dans ces circonstances, il appartenait à l’OAI de déterminer quel type d’activités adaptées pouvait être exigible. Il s’est contenté de se référer à l’avis du médecin du SMR. Or, on ne sait notamment pas si l’assurée présente ou non une diminution de rendement dans l’exercice d’une activité adaptée. Il est vrai que le Tribunal fédéral a retenu à de très nombreuses reprises que les données ressortant de l’enquête suisse sur la structure des salaires recouvrait un large éventail d’activités simples et répétitives dont on devait admettre qu’un nombre significatif était adapté à des limitations fonctionnelles (arrêts I 397/05 du 5 juillet 2006 ; I 112/06 du 16 août 2007, I 111/06 du 19 avril 2007 ; I 372/06 du 25 janvier 2007 ; I 700/05 du 12 janvier 2007 ; 8C 377/2009 du 18 février 2010). L’OAI cite plus particulièrement un arrêt rendu par le TF le 27 mai 2009 dans la cause portant le numéro 9C 963/2008 pour affirmer qu’il n’est pas tenu de décrire les activités qui pourraient entrer en ligne de compte. Or, dans cet arrêt, ainsi que le relève l’assuré, la cause avait été renvoyée à l’office AI pour instruction complémentaire, afin qu'une expertise médicale soit réalisée. C'est seulement après que l’expert ait considéré que l’assurée présentait une capacité résiduelle de travail de 85 % dans une activité légère adaptée à ses limitations fonctionnelles que le TF, avait effectivement jugé que le salaire fixé selon les données statistiques était suffisamment représentatif de ce que les assurés seraient en mesure de réaliser en tant qu’invalides dès lors qu’il recouvre un large éventail d’activités variées et on qualifiées, n’impliquant pas de formation particulière et compatibles avec des limitations fonctionnelles peu contraignantes (arrêt I171/04 du 1er avril 2005 ; 9C 963/2008 du 27 mai 2009). Il y a lieu de constater que dans tous les cas jugés par le TF et cités ci-dessus , le taux de capacité de travail dans une activité adaptée avait été préalablement déterminé. Or, tel n’est pas le cas en l’espèce. Il se justifie dès lors d’admettre le recours et de renvoyer la cause à l’OAI pour instruction complémentaire, laquelle portera sur le taux de la capacité de travail résiduelle dans une activité adaptée, et nouvelle décision sujette à recours.</w:t>
      </w:r>
    </w:p>
    <w:p>
      <w:r>
        <w:t>A/3441/2013 - 9/9 -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