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ATAS/483/2011 vom 17. Mai 2011</w:t>
      </w:r>
    </w:p>
    <w:p>
      <w:r>
        <w:t>GE Cour de justice, 2011-05-17, FR</w:t>
      </w:r>
    </w:p>
    <w:p>
      <w:r>
        <w:rPr>
          <w:b/>
        </w:rPr>
        <w:t xml:space="preserve">Quelle: </w:t>
      </w:r>
      <w:r>
        <w:t>https://mcp.opencaselaw.ch/entscheid/ge_gerichte_ATAS_483_2011</w:t>
      </w:r>
    </w:p>
    <w:p>
      <w:r>
        <w:t>FR: GE_GERICHTE ATAS/483/2011 du 17 mai 2011</w:t>
      </w:r>
    </w:p>
    <w:p>
      <w:r>
        <w:t>IT: GE_GERICHTE ATAS/483/2011 del 17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prestation a été formée le 19 avril 2007 et la décision litigieuse date du 28 octobre 2009. Le litige concerne l'octroi d'une rente au-delà du 31 janvier 2008, mais porte sur l'amélioration de l'état de santé de l'assurée dès novembre 2007. Par conséquent, d’un point de vue matériel, le droit éventuel à une rente d’invalidité doit être examiné au regard des nouvelles normes de la LPGA et des modifications de la LAI consécutives à la 4ème révision de cette loi, entrées en vigueur le 1er janvier 2004. Les modifications de la LAI consécutives à la 5ème révision entrées en vigueur le 1er janvier 2008 ne sont pas applicables sauf aux modifications de l'état de santé postérieures au 1er janvier 2008 (ATF 130 V 445 et les références, voir également ATF 130 V 329).</w:t>
      </w:r>
    </w:p>
    <w:p>
      <w:r>
        <w:rPr>
          <w:b/>
        </w:rPr>
        <w:t>E. 3</w:t>
      </w:r>
    </w:p>
    <w:p>
      <w:r>
        <w:t>La recevabilité du recours a déjà été admise par arrêt du 23 mars 2010 (art 56 et 60 LPGA).</w:t>
      </w:r>
    </w:p>
    <w:p>
      <w:r>
        <w:rPr>
          <w:b/>
        </w:rPr>
        <w:t>E. 4</w:t>
      </w:r>
    </w:p>
    <w:p>
      <w:r>
        <w:t>Sont litigieux l'octroi d'une rente au-delà du 31 janvier 2008, la capacité de travail de l'assurée dès fin novembre 2007 et le calcul du taux d'invalidité.</w:t>
      </w:r>
    </w:p>
    <w:p>
      <w:r>
        <w:t>A/4201/2009 - 10/16 -</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b)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avant la 5e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c)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d)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w:t>
      </w:r>
    </w:p>
    <w:p>
      <w:r>
        <w:t>A/4201/2009 - 11/16 -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 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f) Selon la jurisprudence, une décision par laquelle l’assurance-invalidité accorde une rente d’invalidité avec effet rétroactif et, en même temps, prévoit</w:t>
      </w:r>
    </w:p>
    <w:p>
      <w:r>
        <w:t>A/4201/2009 - 12/16 - l’augmentation, la réduction ou la suppression de cette rente, correspond à une décision de révision au sens de l’art. 17 LPGA (ATF 130 V 343 consid. 3.5.2 et ATF 125 V 413 consid. 2d ; ATF non publiés des 28 décembre 2006, I 520/05, et 21 août 2006, I 554/06).</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A/4201/2009 - 13/16 - d) On ne saurait mettre sur le même pied un rapport d’expertise émanant d’un COMAI – dont la jurisprudence a admis que l’impartialité et l’indépendance à l’égard de l’administration et de l’Office fédéral des assurances sociales sont garantis (ATF 123 V 175) – et un rapport médical établi par le Service médical régional de l’assurance-invalidité (SMR)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du 24 août 2006, I 938/05, consid. 3.2).</w:t>
      </w:r>
    </w:p>
    <w:p>
      <w:r>
        <w:rPr>
          <w:b/>
        </w:rPr>
        <w:t>E. 7</w:t>
      </w:r>
    </w:p>
    <w:p>
      <w:r>
        <w:t>a) En l'espèce, force est de constater que le premier arrêt du 23 mars 2010 a mal apprécié les divers rapports médicaux et le taux d'invalidité de l'assurée. Le médecin de l'assurée, les médecins du SMR, en particulier le rhumatologue ayant procédé à l'examen du 25 août 2009 et les experts du CEMED s'accordent sur le fait que le seul diagnostic avec effet sur la capacité de travail est celui de spondylarthropathie, les autres affections (asthme, syndrome obstructif et obésité) n'étant pas invalidantes. Les autres douleurs alléguées par l'assurée ne sont pas objectivées et sont retenues comme étant invalidantes seulement par le médecin traitant. Les mêmes limitations fonctionnelles sont retenues par tous les médecins : alternance des positions assise et debout, maintien de la position debout au maximum trente minutes, assise au maximum une heure, port de charges limitées à sept kilos. Seul le médecin traitant retient d'autres limitations (s’accroupir et s’agenouiller et pas de travail dans une atmosphère enfumée).</w:t>
      </w:r>
    </w:p>
    <w:p>
      <w:r>
        <w:t>S'agissant des autres affections, non seulement l’avis du médecin traitant n’est pas suffisant pour fonder la décision de la Cour, mais cet avis est, après réexamen du dossier, valablement contredit par celui du Dr I__________ et du CEMED. Ceux-ci retiennent, d’une part, que les autres douleurs articulaires ne sont pas objectivées et, d’autre part, que l’importante obésité en est la cause principale. Le médecin traitant ne nie d'ailleurs pas que cette obésité participe aux douleurs multiples que ressent l’assurée, mais il affirme, sans se fonder sur des éléments objectifs que toutes les autres douleurs (chevilles, genoux et dos) peuvent être liées à la spondylarthropathie. Il s'agit ainsi d'une affirmation qui n'est pas étayée, le médecin faisant lui aussi état de "douleurs diffuses".</w:t>
      </w:r>
    </w:p>
    <w:p>
      <w:r>
        <w:t>Il faut donc retenir, en premier lieu que seule la spondylarthropathie a un effet sur la capacité de travail, l'obésité n'étant pas du ressort de l'AI et les autres affections n'étant pas démontrées. b) Les avis divergent également s’agissant des répercussions sur la capacité de travail des diagnostics posés. Le Dr I__________, rhumatologue auprès du SMR, et le CEMED estiment que la capacité de travail est complète depuis novembre 2007 dans une activité respectant toutes les limitations fonctionnelles, telle que celle de</w:t>
      </w:r>
    </w:p>
    <w:p>
      <w:r>
        <w:t>A/4201/2009 - 14/16 - réceptionniste ou de téléphoniste, alors que le médecin traitant estime que la capacité de travail est au maximum de 50%, compte tenu de l’ensemble des affections dont souffre la patiente, soit des douleurs plantaires, à la cheville, au genou et au dos, ainsi que la surcharge pondérale et ce, même si le traitement anti- inflammatoire était suivi. En analysant de façon plus précise les déclarations du Dr B__________, il semble que l'assurée a cessé le traitement de REMICADE pour plusieurs motifs infondés (coût du traitement, qui est pourtant à la charge de l'assurance, absence d'effet sur les douleurs alors que les HUG ont clairement informé la patiente que trois injections étaient nécessaires, crainte abstraite des effets du médicament). De plus, l'assurée a clairement indiqué en audience que ce n'était pas en raison d'effets secondaires lors de ce traitement-là qu'elle l'avait interrompu. Au demeurant, tous les médecins admettent qu’un traitement par HUMIRA ou REMICADE, de même que les autres traitements anti-inflamatoires, améliorent la situation inflammatoire et donc douloureuse. Tant le CEMED que le Dr I__________ et les HUG retiennent le bénéfice incontestable d'un traitement régulièrement suivi, les autres plaintes étant à prédominance mécanique. En suivant ces avis convergents, force est de constater que l'assurée dispose depuis fin 2007 d'une pleine capacité de travail dans son activité antérieure de réceptionniste, qui n'empêche pas de se lever une fois par heure un instant, étant précisé que cette activité peut être déployée ailleurs que dans un restaurant, évitant ainsi la fumée, problème d'ailleurs résolu depuis l'interdiction de fumer dans les établissements publics. c) En suivant l'avis du Dr B__________ quant aux effets néfastes des divers traitements tentés dont la poursuite n’est peut-être pas exigible de l’assurée, l’arrêt du 23 mars 2010 a omis de tenir compte de deux éléments. D'une part, l’incapacité de travail de 50% alléguée par le médecin traitant est tout autant causée par la spondylarthropathie que par les autres douleurs, qui ne relèvent pas de l’invalidité. D'autre part, il ressort de la description d’une journée de travail par l’assurée et de son comportement lors de l’examen clinique du Dr I__________ que l’importance des douleurs annoncées par l’assurée contraste fortement avec sa capacité locomotrice.</w:t>
      </w:r>
    </w:p>
    <w:p>
      <w:r>
        <w:t>Ainsi et en admettant que la spondylarthropathie persiste à avoir, au-delà de fin 2007, des effets sur la capacité de travail, compte tenu de la fluctuation des périodes inflammatoires, cas échéant de l'admissibilité de l'irrégularité des traitements, l'incapacité de travail de l'assurée ne dépasse pas, au degré de la vraisemblance prépondérante, 25% au maximum.</w:t>
      </w:r>
    </w:p>
    <w:p>
      <w:r>
        <w:t>d) S’agissant du calcul du taux d'invalidité, l'arrêt du 23 mars 2010 ne tenait pas compte d'un abattement de 10% sur le salaire, mais d'une diminution de rendement</w:t>
      </w:r>
    </w:p>
    <w:p>
      <w:r>
        <w:t>A/4201/2009 - 15/16 - de 10%, qui s'ajoute effectivement au taux d'incapacité de travail retenu. En cela, le calcul était correct. La comparaison des revenus n'a pas à être effectuée, dès lors que l’activité antérieure reste exigible, de sorte que l’incapacité de travail se confond avec le taux d’invalidité. Cela étant, s'il faut effectuer la démonstration de ce qui précède, le dernier revenu de l'assurée, en qualité de réceptionniste était de 38'981 fr. pour 42 heures de travail en 2000. Indexé à 2008, le revenu est de 45'184 fr. Dès lors que l'assurée peut effectuer le même travail, le cas échéant au minimum à un taux de 75%, le revenu d'invalide est de 33'888 fr., ce qui implique un taux d'invalidité de 25%. La question de la justification d'un abattement supplémentaire de 10% en raison des poussées inflammatoires (aucun autre critère n'étant réalisé) pourra rester ouverte dès lors que cela aboutirait à un revenu de 30'500 fr., ce qui impliquerait un taux d'invalidité de 32% qui n'ouvre pas non plus de droit à une rente d'invalidité, le quart de rente étant octroyé à partir d'un taux de 40%. e) L'assurée étant capable d'exercer la même profession, aucune mesure de réadaptation professionnelle ne se justifie.</w:t>
      </w:r>
    </w:p>
    <w:p>
      <w:r>
        <w:rPr>
          <w:b/>
        </w:rPr>
        <w:t>E. 8</w:t>
      </w:r>
    </w:p>
    <w:p>
      <w:r>
        <w:t>Le recours est donc rejeté. La recourante, qui succombe, est par ailleurs condamnée à un émolument de 200 fr. (art. 69 al. 1 bis LAI).</w:t>
      </w:r>
    </w:p>
    <w:p>
      <w:r>
        <w:t>A/4201/2009 - 16/16 -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