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ATAS/482/2023 vom 5. April 2023</w:t>
      </w:r>
    </w:p>
    <w:p>
      <w:r>
        <w:t>GE Cour de justice, 2023-04-05, FR</w:t>
      </w:r>
    </w:p>
    <w:p>
      <w:r>
        <w:rPr>
          <w:b/>
        </w:rPr>
        <w:t xml:space="preserve">Quelle: </w:t>
      </w:r>
      <w:r>
        <w:t>https://mcp.opencaselaw.ch/entscheid/ge_gerichte_ATAS_482_2023</w:t>
      </w:r>
    </w:p>
    <w:p>
      <w:r>
        <w:t>FR: GE_GERICHTE ATAS/482/2023 du 5 avril 2023</w:t>
      </w:r>
    </w:p>
    <w:p>
      <w:r>
        <w:t>IT: GE_GERICHTE ATAS/482/2023 del 5 aprile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prima facie recevable (art. 56 et 60 de la LPGA; art. 89B de la loi sur la procédure administrative du 12 septembre 1985 [(LPA-GE - E 5 10)].</w:t>
      </w:r>
    </w:p>
    <w:p>
      <w:r>
        <w:rPr>
          <w:b/>
        </w:rPr>
        <w:t>E. 2</w:t>
      </w:r>
    </w:p>
    <w:p>
      <w:r>
        <w:t>Le recourant, en sollicitant une suspension de la décision litigieuse, a formé une demande de restitution de l’effet suspensif à son recours.</w:t>
      </w:r>
    </w:p>
    <w:p>
      <w:r>
        <w:rPr>
          <w:b/>
        </w:rPr>
        <w:t>E. 3.1</w:t>
      </w:r>
    </w:p>
    <w:p>
      <w:r>
        <w:t>A teneur de l’art. 49 al. 5 LPGA,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w:t>
      </w:r>
    </w:p>
    <w:p>
      <w:r>
        <w:t>A/1259/2023 - 3/6 -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w:t>
      </w:r>
    </w:p>
    <w:p>
      <w:r>
        <w:t>A/1259/2023 - 4/6 -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 846/2018 du 29 novembre 2019 consid. 7.1 et 9C_207/2014 du 1er mai 2014 consid. 5.3).</w:t>
      </w:r>
    </w:p>
    <w:p>
      <w:r>
        <w:rPr>
          <w:b/>
        </w:rPr>
        <w:t>E. 4</w:t>
      </w:r>
    </w:p>
    <w:p>
      <w:r>
        <w:t>En l’espèce, la chambre de céans ne saurait restituer l’effet suspensif au recours, les chances de succès de celui-ci ne faisant pas aucun doute. En effet, il n’est pas contesté par le recourant que ses deux enfants, B______ et C______, vivent avec leur mère, dont il est séparé. Or, l’art. 71ter al. 1 RAVS, prévoit que lorsque les parents de l’enfant ne sont pas ou plus mariés ou qu’ils vivent séparés, la rente pour enfant est versée sur demande au parent qui n’est pas titulaire de la rente</w:t>
      </w:r>
    </w:p>
    <w:p>
      <w:r>
        <w:t>A/1259/2023 - 5/6 - principale si celui-ci détient l’autorité parentale sur l’enfant avec lequel il vit. Toute décision contraire du juge civil ou de l’autorité tutélaire est réservée. En l’occurrence, le recourant ne conteste pas que son épouse détient l’autorité parentale sur leurs deux enfants. Partant, la demande de restitution de l’effet suspensif au recours ne peut qu’être rejetée et le fond réservé.</w:t>
      </w:r>
    </w:p>
    <w:p>
      <w:r>
        <w:t>A/1259/2023 - 6/6 -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